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4DE0" w:rsidRDefault="00023A9E" w:rsidP="00023A9E">
      <w:pPr>
        <w:jc w:val="center"/>
        <w:rPr>
          <w:b/>
          <w:sz w:val="24"/>
        </w:rPr>
      </w:pPr>
      <w:r w:rsidRPr="00023A9E">
        <w:rPr>
          <w:b/>
          <w:sz w:val="24"/>
        </w:rPr>
        <w:t>Economic inactivity</w:t>
      </w:r>
      <w:r>
        <w:rPr>
          <w:b/>
          <w:sz w:val="24"/>
        </w:rPr>
        <w:t xml:space="preserve"> in UK cities</w:t>
      </w:r>
      <w:r w:rsidRPr="00023A9E">
        <w:rPr>
          <w:b/>
          <w:sz w:val="24"/>
        </w:rPr>
        <w:t xml:space="preserve"> – Findings</w:t>
      </w:r>
    </w:p>
    <w:p w:rsidR="00442E53" w:rsidRDefault="00442E53" w:rsidP="00442E53">
      <w:pPr>
        <w:rPr>
          <w:b/>
          <w:sz w:val="24"/>
        </w:rPr>
      </w:pPr>
      <w:r>
        <w:rPr>
          <w:b/>
          <w:sz w:val="24"/>
        </w:rPr>
        <w:t>Summary</w:t>
      </w:r>
    </w:p>
    <w:p w:rsidR="00442E53" w:rsidRPr="00442E53" w:rsidRDefault="00442E53" w:rsidP="00442E53">
      <w:pPr>
        <w:pStyle w:val="ListParagraph"/>
        <w:numPr>
          <w:ilvl w:val="0"/>
          <w:numId w:val="9"/>
        </w:numPr>
        <w:rPr>
          <w:b/>
          <w:sz w:val="24"/>
        </w:rPr>
      </w:pPr>
      <w:r>
        <w:rPr>
          <w:sz w:val="24"/>
        </w:rPr>
        <w:t xml:space="preserve">Economic inactivity is higher </w:t>
      </w:r>
      <w:r w:rsidR="00BB7FE1">
        <w:rPr>
          <w:sz w:val="24"/>
        </w:rPr>
        <w:t xml:space="preserve">in cities </w:t>
      </w:r>
      <w:r>
        <w:rPr>
          <w:sz w:val="24"/>
        </w:rPr>
        <w:t>outside the Greater South East.</w:t>
      </w:r>
    </w:p>
    <w:p w:rsidR="00442E53" w:rsidRPr="00442E53" w:rsidRDefault="00442E53" w:rsidP="00442E53">
      <w:pPr>
        <w:pStyle w:val="ListParagraph"/>
        <w:numPr>
          <w:ilvl w:val="0"/>
          <w:numId w:val="9"/>
        </w:numPr>
        <w:rPr>
          <w:b/>
          <w:sz w:val="24"/>
        </w:rPr>
      </w:pPr>
      <w:r>
        <w:rPr>
          <w:sz w:val="24"/>
        </w:rPr>
        <w:t>Demographically:</w:t>
      </w:r>
    </w:p>
    <w:p w:rsidR="00442E53" w:rsidRPr="00442E53" w:rsidRDefault="00442E53" w:rsidP="00442E53">
      <w:pPr>
        <w:pStyle w:val="ListParagraph"/>
        <w:numPr>
          <w:ilvl w:val="0"/>
          <w:numId w:val="10"/>
        </w:numPr>
        <w:rPr>
          <w:b/>
          <w:sz w:val="24"/>
        </w:rPr>
      </w:pPr>
      <w:r>
        <w:rPr>
          <w:sz w:val="24"/>
        </w:rPr>
        <w:t>Gender: female more likely to be economically inactive (27% F v 17% M)</w:t>
      </w:r>
    </w:p>
    <w:p w:rsidR="00442E53" w:rsidRPr="00442E53" w:rsidRDefault="00442E53" w:rsidP="00442E53">
      <w:pPr>
        <w:pStyle w:val="ListParagraph"/>
        <w:numPr>
          <w:ilvl w:val="0"/>
          <w:numId w:val="10"/>
        </w:numPr>
        <w:rPr>
          <w:b/>
          <w:sz w:val="24"/>
        </w:rPr>
      </w:pPr>
      <w:r>
        <w:rPr>
          <w:sz w:val="24"/>
        </w:rPr>
        <w:t>Ethnicity: ethnic minorities more likely to be economically inactive (30% v 21%)</w:t>
      </w:r>
    </w:p>
    <w:p w:rsidR="00442E53" w:rsidRPr="00442E53" w:rsidRDefault="00442E53" w:rsidP="00442E53">
      <w:pPr>
        <w:pStyle w:val="ListParagraph"/>
        <w:numPr>
          <w:ilvl w:val="0"/>
          <w:numId w:val="10"/>
        </w:numPr>
        <w:rPr>
          <w:b/>
          <w:sz w:val="24"/>
        </w:rPr>
      </w:pPr>
      <w:r>
        <w:rPr>
          <w:sz w:val="24"/>
        </w:rPr>
        <w:t>Age: young and old people more likely to be economically inactive than 25-49yo (38% 16-24yo, v 27% 50-64yo, v 13% 25-49yo)</w:t>
      </w:r>
    </w:p>
    <w:p w:rsidR="00442E53" w:rsidRDefault="00442E53" w:rsidP="00442E53">
      <w:pPr>
        <w:pStyle w:val="ListParagraph"/>
        <w:numPr>
          <w:ilvl w:val="0"/>
          <w:numId w:val="10"/>
        </w:numPr>
        <w:rPr>
          <w:sz w:val="24"/>
        </w:rPr>
      </w:pPr>
      <w:r>
        <w:rPr>
          <w:sz w:val="24"/>
        </w:rPr>
        <w:t xml:space="preserve">Skills: people with few or no qualifications way more likely to be economically </w:t>
      </w:r>
      <w:r w:rsidRPr="00C45AF6">
        <w:rPr>
          <w:sz w:val="24"/>
        </w:rPr>
        <w:t>inactive (</w:t>
      </w:r>
      <w:r w:rsidR="006F53D1" w:rsidRPr="00C45AF6">
        <w:rPr>
          <w:sz w:val="24"/>
        </w:rPr>
        <w:t>36% v 13% for high-skilled people)</w:t>
      </w:r>
    </w:p>
    <w:p w:rsidR="006C2EFB" w:rsidRPr="00C45AF6" w:rsidRDefault="006C2EFB" w:rsidP="00442E53">
      <w:pPr>
        <w:pStyle w:val="ListParagraph"/>
        <w:numPr>
          <w:ilvl w:val="0"/>
          <w:numId w:val="10"/>
        </w:numPr>
        <w:rPr>
          <w:sz w:val="24"/>
        </w:rPr>
      </w:pPr>
      <w:r>
        <w:rPr>
          <w:sz w:val="24"/>
        </w:rPr>
        <w:t>Living arrangement: people not living in a couple more likely to be economically inactive (41%) than those living in a couple (32%)</w:t>
      </w:r>
    </w:p>
    <w:p w:rsidR="00442E53" w:rsidRDefault="00C45AF6" w:rsidP="00442E53">
      <w:pPr>
        <w:pStyle w:val="ListParagraph"/>
        <w:numPr>
          <w:ilvl w:val="0"/>
          <w:numId w:val="9"/>
        </w:numPr>
        <w:rPr>
          <w:sz w:val="24"/>
        </w:rPr>
      </w:pPr>
      <w:r w:rsidRPr="00C45AF6">
        <w:rPr>
          <w:sz w:val="24"/>
        </w:rPr>
        <w:t>27 per</w:t>
      </w:r>
      <w:r>
        <w:rPr>
          <w:sz w:val="24"/>
        </w:rPr>
        <w:t xml:space="preserve"> cent of economic inactive are students, 25 per cent look after family/home and 22 per cent are long term sick. </w:t>
      </w:r>
    </w:p>
    <w:p w:rsidR="00C45AF6" w:rsidRDefault="00C45AF6" w:rsidP="00442E53">
      <w:pPr>
        <w:pStyle w:val="ListParagraph"/>
        <w:numPr>
          <w:ilvl w:val="0"/>
          <w:numId w:val="9"/>
        </w:numPr>
        <w:rPr>
          <w:sz w:val="24"/>
        </w:rPr>
      </w:pPr>
      <w:r>
        <w:rPr>
          <w:sz w:val="24"/>
        </w:rPr>
        <w:t>The vast majority of the economic inactive (77%) do not want a job, but there seems to be no one good indicator to explain the variation on this indicator across the country.</w:t>
      </w:r>
    </w:p>
    <w:p w:rsidR="0015451E" w:rsidRDefault="0015451E" w:rsidP="00442E53">
      <w:pPr>
        <w:pStyle w:val="ListParagraph"/>
        <w:numPr>
          <w:ilvl w:val="0"/>
          <w:numId w:val="9"/>
        </w:numPr>
        <w:rPr>
          <w:sz w:val="24"/>
        </w:rPr>
      </w:pPr>
      <w:r>
        <w:rPr>
          <w:sz w:val="24"/>
        </w:rPr>
        <w:t>Overall economic inactivity is strongly correlated with the share of population with no qualifications in cities (corre</w:t>
      </w:r>
      <w:r w:rsidR="002C4B83">
        <w:rPr>
          <w:sz w:val="24"/>
        </w:rPr>
        <w:t>lation coefficient of 0.62),</w:t>
      </w:r>
      <w:r>
        <w:rPr>
          <w:sz w:val="24"/>
        </w:rPr>
        <w:t xml:space="preserve"> it has a negative correlation with GVA per worker (-0.40)</w:t>
      </w:r>
      <w:r w:rsidR="002C4B83">
        <w:rPr>
          <w:sz w:val="24"/>
        </w:rPr>
        <w:t xml:space="preserve"> and a positive correlation with unemployment rates (0.40)</w:t>
      </w:r>
      <w:r>
        <w:rPr>
          <w:sz w:val="24"/>
        </w:rPr>
        <w:t xml:space="preserve">. </w:t>
      </w:r>
    </w:p>
    <w:p w:rsidR="0015451E" w:rsidRPr="00C45AF6" w:rsidRDefault="0015451E" w:rsidP="00442E53">
      <w:pPr>
        <w:pStyle w:val="ListParagraph"/>
        <w:numPr>
          <w:ilvl w:val="0"/>
          <w:numId w:val="9"/>
        </w:numPr>
        <w:rPr>
          <w:sz w:val="24"/>
        </w:rPr>
      </w:pPr>
      <w:r>
        <w:rPr>
          <w:sz w:val="24"/>
        </w:rPr>
        <w:t>Economic inactivity and welfare spend per capita have a positive correlation (correlation coefficient (0.47)</w:t>
      </w:r>
    </w:p>
    <w:p w:rsidR="00442E53" w:rsidRPr="0015451E" w:rsidRDefault="00442E53" w:rsidP="0015451E">
      <w:pPr>
        <w:rPr>
          <w:b/>
          <w:sz w:val="24"/>
        </w:rPr>
      </w:pPr>
    </w:p>
    <w:p w:rsidR="00442E53" w:rsidRDefault="00442E53" w:rsidP="00442E53">
      <w:pPr>
        <w:pStyle w:val="ListParagraph"/>
        <w:ind w:left="360"/>
        <w:rPr>
          <w:b/>
          <w:sz w:val="24"/>
        </w:rPr>
      </w:pPr>
      <w:bookmarkStart w:id="0" w:name="_GoBack"/>
      <w:bookmarkEnd w:id="0"/>
    </w:p>
    <w:p w:rsidR="00442E53" w:rsidRDefault="00442E53" w:rsidP="00442E53">
      <w:pPr>
        <w:pStyle w:val="ListParagraph"/>
        <w:ind w:left="360"/>
        <w:rPr>
          <w:b/>
          <w:sz w:val="24"/>
        </w:rPr>
      </w:pPr>
    </w:p>
    <w:p w:rsidR="00442E53" w:rsidRDefault="00442E53" w:rsidP="00442E53">
      <w:pPr>
        <w:pStyle w:val="ListParagraph"/>
        <w:ind w:left="360"/>
        <w:rPr>
          <w:b/>
          <w:sz w:val="24"/>
        </w:rPr>
      </w:pPr>
    </w:p>
    <w:p w:rsidR="00442E53" w:rsidRDefault="00442E53" w:rsidP="00442E53">
      <w:pPr>
        <w:pStyle w:val="ListParagraph"/>
        <w:ind w:left="360"/>
        <w:rPr>
          <w:b/>
          <w:sz w:val="24"/>
        </w:rPr>
      </w:pPr>
    </w:p>
    <w:p w:rsidR="00442E53" w:rsidRDefault="00442E53" w:rsidP="0015451E">
      <w:pPr>
        <w:rPr>
          <w:b/>
          <w:sz w:val="24"/>
        </w:rPr>
      </w:pPr>
    </w:p>
    <w:p w:rsidR="0015451E" w:rsidRPr="0015451E" w:rsidRDefault="0015451E" w:rsidP="0015451E">
      <w:pPr>
        <w:rPr>
          <w:b/>
          <w:sz w:val="24"/>
        </w:rPr>
      </w:pPr>
    </w:p>
    <w:p w:rsidR="00442E53" w:rsidRDefault="00442E53" w:rsidP="00442E53">
      <w:pPr>
        <w:pStyle w:val="ListParagraph"/>
        <w:ind w:left="360"/>
        <w:rPr>
          <w:b/>
          <w:sz w:val="24"/>
        </w:rPr>
      </w:pPr>
    </w:p>
    <w:p w:rsidR="00442E53" w:rsidRDefault="00442E53" w:rsidP="00442E53">
      <w:pPr>
        <w:pStyle w:val="ListParagraph"/>
        <w:ind w:left="360"/>
        <w:rPr>
          <w:b/>
          <w:sz w:val="24"/>
        </w:rPr>
      </w:pPr>
    </w:p>
    <w:p w:rsidR="00442E53" w:rsidRDefault="00442E53" w:rsidP="00442E53">
      <w:pPr>
        <w:pStyle w:val="ListParagraph"/>
        <w:ind w:left="360"/>
        <w:rPr>
          <w:b/>
          <w:sz w:val="24"/>
        </w:rPr>
      </w:pPr>
    </w:p>
    <w:p w:rsidR="00442E53" w:rsidRDefault="00442E53" w:rsidP="00442E53">
      <w:pPr>
        <w:pStyle w:val="ListParagraph"/>
        <w:ind w:left="360"/>
        <w:rPr>
          <w:b/>
          <w:sz w:val="24"/>
        </w:rPr>
      </w:pPr>
    </w:p>
    <w:p w:rsidR="00442E53" w:rsidRDefault="00442E53" w:rsidP="00442E53">
      <w:pPr>
        <w:pStyle w:val="ListParagraph"/>
        <w:ind w:left="360"/>
        <w:rPr>
          <w:b/>
          <w:sz w:val="24"/>
        </w:rPr>
      </w:pPr>
    </w:p>
    <w:p w:rsidR="00442E53" w:rsidRDefault="00442E53" w:rsidP="00442E53">
      <w:pPr>
        <w:pStyle w:val="ListParagraph"/>
        <w:ind w:left="360"/>
        <w:rPr>
          <w:b/>
          <w:sz w:val="24"/>
        </w:rPr>
      </w:pPr>
    </w:p>
    <w:p w:rsidR="00442E53" w:rsidRDefault="00442E53" w:rsidP="00442E53">
      <w:pPr>
        <w:pStyle w:val="ListParagraph"/>
        <w:ind w:left="360"/>
        <w:rPr>
          <w:b/>
          <w:sz w:val="24"/>
        </w:rPr>
      </w:pPr>
    </w:p>
    <w:p w:rsidR="00442E53" w:rsidRDefault="00442E53" w:rsidP="00442E53">
      <w:pPr>
        <w:pStyle w:val="ListParagraph"/>
        <w:ind w:left="360"/>
        <w:rPr>
          <w:b/>
          <w:sz w:val="24"/>
        </w:rPr>
      </w:pPr>
    </w:p>
    <w:p w:rsidR="00442E53" w:rsidRPr="00C45AF6" w:rsidRDefault="00442E53" w:rsidP="00C45AF6">
      <w:pPr>
        <w:rPr>
          <w:b/>
          <w:sz w:val="24"/>
        </w:rPr>
      </w:pPr>
    </w:p>
    <w:p w:rsidR="00442E53" w:rsidRPr="00442E53" w:rsidRDefault="00442E53" w:rsidP="00442E53">
      <w:pPr>
        <w:pStyle w:val="ListParagraph"/>
        <w:ind w:left="360"/>
        <w:rPr>
          <w:b/>
          <w:sz w:val="24"/>
        </w:rPr>
      </w:pPr>
    </w:p>
    <w:p w:rsidR="00023A9E" w:rsidRDefault="00023A9E" w:rsidP="00023A9E">
      <w:pPr>
        <w:pStyle w:val="ListParagraph"/>
        <w:numPr>
          <w:ilvl w:val="0"/>
          <w:numId w:val="1"/>
        </w:numPr>
        <w:rPr>
          <w:b/>
          <w:sz w:val="24"/>
        </w:rPr>
      </w:pPr>
      <w:r>
        <w:rPr>
          <w:b/>
          <w:sz w:val="24"/>
        </w:rPr>
        <w:t>What does economic inactivity look like in cities up and down the country?</w:t>
      </w:r>
    </w:p>
    <w:p w:rsidR="005910AD" w:rsidRPr="004E27D5" w:rsidRDefault="004E27D5" w:rsidP="004E27D5">
      <w:pPr>
        <w:rPr>
          <w:b/>
          <w:sz w:val="24"/>
        </w:rPr>
      </w:pPr>
      <w:r>
        <w:rPr>
          <w:b/>
          <w:sz w:val="24"/>
        </w:rPr>
        <w:t>Overview</w:t>
      </w:r>
    </w:p>
    <w:p w:rsidR="005910AD" w:rsidRPr="005910AD" w:rsidRDefault="005910AD" w:rsidP="005910AD">
      <w:pPr>
        <w:pStyle w:val="ListParagraph"/>
        <w:numPr>
          <w:ilvl w:val="0"/>
          <w:numId w:val="3"/>
        </w:numPr>
        <w:rPr>
          <w:b/>
          <w:sz w:val="24"/>
        </w:rPr>
      </w:pPr>
      <w:r>
        <w:rPr>
          <w:sz w:val="24"/>
        </w:rPr>
        <w:t xml:space="preserve">As with many other things, there is a quite clear North/South divide, with cities in the Greater South East having a lower share of economic inactive and cities in the North and Midlands seeing higher levels of inactivity. </w:t>
      </w:r>
    </w:p>
    <w:p w:rsidR="005910AD" w:rsidRPr="005910AD" w:rsidRDefault="005910AD" w:rsidP="005910AD">
      <w:pPr>
        <w:pStyle w:val="ListParagraph"/>
        <w:numPr>
          <w:ilvl w:val="0"/>
          <w:numId w:val="3"/>
        </w:numPr>
        <w:rPr>
          <w:b/>
          <w:sz w:val="24"/>
        </w:rPr>
      </w:pPr>
      <w:r>
        <w:rPr>
          <w:sz w:val="24"/>
        </w:rPr>
        <w:t xml:space="preserve">In Great Britain, 22 per cent of the working age population was economically inactive in 2017. </w:t>
      </w:r>
    </w:p>
    <w:p w:rsidR="005910AD" w:rsidRPr="005910AD" w:rsidRDefault="005910AD" w:rsidP="005910AD">
      <w:pPr>
        <w:pStyle w:val="ListParagraph"/>
        <w:numPr>
          <w:ilvl w:val="0"/>
          <w:numId w:val="3"/>
        </w:numPr>
        <w:rPr>
          <w:b/>
          <w:sz w:val="24"/>
        </w:rPr>
      </w:pPr>
      <w:r>
        <w:rPr>
          <w:sz w:val="24"/>
        </w:rPr>
        <w:t xml:space="preserve">Top 5 cities for economic inactivity are: Dundee (32%), Blackburn (31%), Liverpool (29%), Birmingham (28%) and Swansea (28%). All the top 10 cities for economic inactivity are outside the Greater South East.   </w:t>
      </w:r>
    </w:p>
    <w:p w:rsidR="005910AD" w:rsidRPr="00936EF9" w:rsidRDefault="00936EF9" w:rsidP="005910AD">
      <w:pPr>
        <w:pStyle w:val="ListParagraph"/>
        <w:numPr>
          <w:ilvl w:val="0"/>
          <w:numId w:val="3"/>
        </w:numPr>
        <w:rPr>
          <w:b/>
          <w:sz w:val="24"/>
        </w:rPr>
      </w:pPr>
      <w:r>
        <w:rPr>
          <w:noProof/>
          <w:lang w:eastAsia="en-GB"/>
        </w:rPr>
        <w:drawing>
          <wp:anchor distT="0" distB="0" distL="114300" distR="114300" simplePos="0" relativeHeight="251658240" behindDoc="0" locked="0" layoutInCell="1" allowOverlap="1" wp14:anchorId="00449F01" wp14:editId="639486A9">
            <wp:simplePos x="0" y="0"/>
            <wp:positionH relativeFrom="column">
              <wp:posOffset>233680</wp:posOffset>
            </wp:positionH>
            <wp:positionV relativeFrom="paragraph">
              <wp:posOffset>785495</wp:posOffset>
            </wp:positionV>
            <wp:extent cx="4879975" cy="57067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 economic inactive.jpg"/>
                    <pic:cNvPicPr/>
                  </pic:nvPicPr>
                  <pic:blipFill rotWithShape="1">
                    <a:blip r:embed="rId7">
                      <a:extLst>
                        <a:ext uri="{28A0092B-C50C-407E-A947-70E740481C1C}">
                          <a14:useLocalDpi xmlns:a14="http://schemas.microsoft.com/office/drawing/2010/main" val="0"/>
                        </a:ext>
                      </a:extLst>
                    </a:blip>
                    <a:srcRect l="4268" t="13784" r="8163" b="13744"/>
                    <a:stretch/>
                  </pic:blipFill>
                  <pic:spPr bwMode="auto">
                    <a:xfrm>
                      <a:off x="0" y="0"/>
                      <a:ext cx="4879975" cy="570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Bottom 10 cities for economic inactivity are: Crawley (11%), Worthing (15%), Swindon (16%), Oxford (17%) and Gloucester (17%). All the bottom 10 cities – excluding Preston – are in the Greater South East. </w:t>
      </w:r>
    </w:p>
    <w:p w:rsidR="00936EF9" w:rsidRDefault="004E27D5" w:rsidP="00827717">
      <w:pPr>
        <w:pStyle w:val="ListParagraph"/>
        <w:ind w:left="0"/>
        <w:rPr>
          <w:b/>
          <w:sz w:val="24"/>
        </w:rPr>
      </w:pPr>
      <w:r>
        <w:rPr>
          <w:b/>
          <w:sz w:val="24"/>
        </w:rPr>
        <w:lastRenderedPageBreak/>
        <w:t>Breakdown by gender</w:t>
      </w:r>
    </w:p>
    <w:p w:rsidR="00827717" w:rsidRDefault="00827717" w:rsidP="00827717">
      <w:pPr>
        <w:pStyle w:val="ListParagraph"/>
        <w:ind w:left="0"/>
        <w:rPr>
          <w:b/>
          <w:sz w:val="24"/>
        </w:rPr>
      </w:pPr>
    </w:p>
    <w:p w:rsidR="00827717" w:rsidRPr="00827717" w:rsidRDefault="00827717" w:rsidP="00827717">
      <w:pPr>
        <w:pStyle w:val="ListParagraph"/>
        <w:numPr>
          <w:ilvl w:val="0"/>
          <w:numId w:val="4"/>
        </w:numPr>
        <w:rPr>
          <w:b/>
          <w:sz w:val="24"/>
        </w:rPr>
      </w:pPr>
      <w:r>
        <w:rPr>
          <w:sz w:val="24"/>
        </w:rPr>
        <w:t xml:space="preserve">In Great Britain, women (27%) </w:t>
      </w:r>
      <w:r w:rsidR="00D37E27">
        <w:rPr>
          <w:sz w:val="24"/>
        </w:rPr>
        <w:t>are</w:t>
      </w:r>
      <w:r>
        <w:rPr>
          <w:sz w:val="24"/>
        </w:rPr>
        <w:t xml:space="preserve"> more </w:t>
      </w:r>
      <w:r w:rsidR="00D37E27">
        <w:rPr>
          <w:sz w:val="24"/>
        </w:rPr>
        <w:t xml:space="preserve">likely to be </w:t>
      </w:r>
      <w:r>
        <w:rPr>
          <w:sz w:val="24"/>
        </w:rPr>
        <w:t>economically inactive then men (17%).</w:t>
      </w:r>
    </w:p>
    <w:p w:rsidR="00D37E27" w:rsidRPr="00D37E27" w:rsidRDefault="00D37E27" w:rsidP="00827717">
      <w:pPr>
        <w:pStyle w:val="ListParagraph"/>
        <w:numPr>
          <w:ilvl w:val="0"/>
          <w:numId w:val="4"/>
        </w:numPr>
        <w:rPr>
          <w:b/>
          <w:sz w:val="24"/>
        </w:rPr>
      </w:pPr>
      <w:r>
        <w:rPr>
          <w:sz w:val="24"/>
        </w:rPr>
        <w:t>This is also true for</w:t>
      </w:r>
      <w:r w:rsidR="00827717">
        <w:rPr>
          <w:sz w:val="24"/>
        </w:rPr>
        <w:t xml:space="preserve"> every city apart from two: Dundee and Exeter. </w:t>
      </w:r>
    </w:p>
    <w:p w:rsidR="00D37E27" w:rsidRPr="00D37E27" w:rsidRDefault="00827717" w:rsidP="00827717">
      <w:pPr>
        <w:pStyle w:val="ListParagraph"/>
        <w:numPr>
          <w:ilvl w:val="0"/>
          <w:numId w:val="4"/>
        </w:numPr>
        <w:rPr>
          <w:b/>
          <w:sz w:val="24"/>
        </w:rPr>
      </w:pPr>
      <w:r>
        <w:rPr>
          <w:sz w:val="24"/>
        </w:rPr>
        <w:t xml:space="preserve">In Dundee, both female and male economic inactivity are high, with make economic inactivity 3.5 percentage points higher. </w:t>
      </w:r>
    </w:p>
    <w:p w:rsidR="00827717" w:rsidRPr="00827717" w:rsidRDefault="00827717" w:rsidP="00827717">
      <w:pPr>
        <w:pStyle w:val="ListParagraph"/>
        <w:numPr>
          <w:ilvl w:val="0"/>
          <w:numId w:val="4"/>
        </w:numPr>
        <w:rPr>
          <w:b/>
          <w:sz w:val="24"/>
        </w:rPr>
      </w:pPr>
      <w:r>
        <w:rPr>
          <w:sz w:val="24"/>
        </w:rPr>
        <w:t>In Exeter, the difference is much bigger and while the city has the second highest inactivity rate for men, it has one of the lowest for women (59/62 cities)</w:t>
      </w:r>
      <w:r w:rsidR="00D37E27">
        <w:rPr>
          <w:sz w:val="24"/>
        </w:rPr>
        <w:t>.</w:t>
      </w:r>
    </w:p>
    <w:p w:rsidR="00827717" w:rsidRDefault="00827717" w:rsidP="00936EF9">
      <w:pPr>
        <w:pStyle w:val="ListParagraph"/>
        <w:ind w:left="360"/>
        <w:rPr>
          <w:b/>
          <w:sz w:val="24"/>
        </w:rPr>
      </w:pPr>
    </w:p>
    <w:p w:rsidR="004E27D5" w:rsidRDefault="004E27D5" w:rsidP="00827717">
      <w:pPr>
        <w:pStyle w:val="ListParagraph"/>
        <w:ind w:left="0"/>
        <w:rPr>
          <w:b/>
          <w:sz w:val="24"/>
        </w:rPr>
      </w:pPr>
      <w:r>
        <w:rPr>
          <w:b/>
          <w:sz w:val="24"/>
        </w:rPr>
        <w:t>Breakdown by ethnicity</w:t>
      </w:r>
    </w:p>
    <w:p w:rsidR="00B512EE" w:rsidRDefault="00B512EE" w:rsidP="00827717">
      <w:pPr>
        <w:pStyle w:val="ListParagraph"/>
        <w:ind w:left="0"/>
        <w:rPr>
          <w:b/>
          <w:sz w:val="24"/>
        </w:rPr>
      </w:pPr>
    </w:p>
    <w:p w:rsidR="00B512EE" w:rsidRPr="00B512EE" w:rsidRDefault="00B512EE" w:rsidP="00B512EE">
      <w:pPr>
        <w:pStyle w:val="ListParagraph"/>
        <w:numPr>
          <w:ilvl w:val="0"/>
          <w:numId w:val="5"/>
        </w:numPr>
        <w:rPr>
          <w:b/>
          <w:sz w:val="24"/>
        </w:rPr>
      </w:pPr>
      <w:r>
        <w:rPr>
          <w:sz w:val="24"/>
        </w:rPr>
        <w:t>In Great Britain, people from ethnic minorities (30%) are more likely to be economically inactive than people from a white ethnic group (21%).</w:t>
      </w:r>
    </w:p>
    <w:p w:rsidR="00B512EE" w:rsidRPr="00B512EE" w:rsidRDefault="00B512EE" w:rsidP="00B512EE">
      <w:pPr>
        <w:pStyle w:val="ListParagraph"/>
        <w:numPr>
          <w:ilvl w:val="0"/>
          <w:numId w:val="5"/>
        </w:numPr>
        <w:rPr>
          <w:b/>
          <w:sz w:val="24"/>
        </w:rPr>
      </w:pPr>
      <w:r>
        <w:rPr>
          <w:sz w:val="24"/>
        </w:rPr>
        <w:t>This is also true in most UK cities, with the exception of a few places – Barnsley, Birkenhead, Chatham and Southend – albeit the difference is small.</w:t>
      </w:r>
    </w:p>
    <w:p w:rsidR="00B512EE" w:rsidRPr="00B512EE" w:rsidRDefault="00B512EE" w:rsidP="00B512EE">
      <w:pPr>
        <w:pStyle w:val="ListParagraph"/>
        <w:ind w:left="360"/>
        <w:rPr>
          <w:b/>
          <w:sz w:val="24"/>
        </w:rPr>
      </w:pPr>
    </w:p>
    <w:p w:rsidR="00B512EE" w:rsidRPr="00B512EE" w:rsidRDefault="00B512EE" w:rsidP="00B512EE">
      <w:pPr>
        <w:pStyle w:val="ListParagraph"/>
        <w:numPr>
          <w:ilvl w:val="0"/>
          <w:numId w:val="5"/>
        </w:numPr>
        <w:rPr>
          <w:b/>
          <w:sz w:val="24"/>
        </w:rPr>
      </w:pPr>
      <w:r>
        <w:rPr>
          <w:sz w:val="24"/>
        </w:rPr>
        <w:t>Of all the economic inactive in Great Britain, 20 per cent are of ethnic minority origin.</w:t>
      </w:r>
    </w:p>
    <w:p w:rsidR="00B512EE" w:rsidRPr="0040682D" w:rsidRDefault="00B512EE" w:rsidP="00B512EE">
      <w:pPr>
        <w:pStyle w:val="ListParagraph"/>
        <w:numPr>
          <w:ilvl w:val="0"/>
          <w:numId w:val="5"/>
        </w:numPr>
        <w:rPr>
          <w:b/>
          <w:sz w:val="24"/>
        </w:rPr>
      </w:pPr>
      <w:r>
        <w:rPr>
          <w:sz w:val="24"/>
        </w:rPr>
        <w:t xml:space="preserve">However, this is not necessarily the case in every city across the country. In Slough 68 per cent of the economic inactive are of ethnic minority origins, </w:t>
      </w:r>
      <w:r w:rsidR="0040682D">
        <w:rPr>
          <w:sz w:val="24"/>
        </w:rPr>
        <w:t xml:space="preserve">in Luton 60 per cent, in Leicester 56 per cent, in London 48 per cent and in Blackburn 46 per cent. </w:t>
      </w:r>
    </w:p>
    <w:p w:rsidR="0040682D" w:rsidRPr="0040682D" w:rsidRDefault="0040682D" w:rsidP="0040682D">
      <w:pPr>
        <w:pStyle w:val="ListParagraph"/>
        <w:numPr>
          <w:ilvl w:val="0"/>
          <w:numId w:val="5"/>
        </w:numPr>
        <w:rPr>
          <w:b/>
          <w:sz w:val="24"/>
        </w:rPr>
      </w:pPr>
      <w:r>
        <w:rPr>
          <w:sz w:val="24"/>
        </w:rPr>
        <w:t>In contrast, in Barnsley, ethnic minorities only account for 1.5 per cent of all economic inactive, and in Wigan, Blackpool, Birkenhead and Southend, ethnic minorities account for less than 5 per cent of all the economic inactive.</w:t>
      </w:r>
    </w:p>
    <w:p w:rsidR="0040682D" w:rsidRPr="0040682D" w:rsidRDefault="0040682D" w:rsidP="0040682D">
      <w:pPr>
        <w:pStyle w:val="ListParagraph"/>
        <w:numPr>
          <w:ilvl w:val="0"/>
          <w:numId w:val="5"/>
        </w:numPr>
        <w:rPr>
          <w:b/>
          <w:sz w:val="24"/>
        </w:rPr>
      </w:pPr>
      <w:r>
        <w:rPr>
          <w:sz w:val="24"/>
        </w:rPr>
        <w:t xml:space="preserve">These variations help explain why some cities we would expect to have higher or lower economic inactivity actually behaved slightly different. </w:t>
      </w:r>
    </w:p>
    <w:p w:rsidR="00B512EE" w:rsidRDefault="00B512EE" w:rsidP="00827717">
      <w:pPr>
        <w:pStyle w:val="ListParagraph"/>
        <w:ind w:left="0"/>
        <w:rPr>
          <w:b/>
          <w:sz w:val="24"/>
        </w:rPr>
      </w:pPr>
    </w:p>
    <w:p w:rsidR="004E27D5" w:rsidRDefault="004E27D5" w:rsidP="00827717">
      <w:pPr>
        <w:pStyle w:val="ListParagraph"/>
        <w:ind w:left="0"/>
        <w:rPr>
          <w:b/>
          <w:sz w:val="24"/>
        </w:rPr>
      </w:pPr>
      <w:r>
        <w:rPr>
          <w:b/>
          <w:sz w:val="24"/>
        </w:rPr>
        <w:t>Breakdown by age</w:t>
      </w:r>
    </w:p>
    <w:p w:rsidR="00225651" w:rsidRDefault="00225651" w:rsidP="00827717">
      <w:pPr>
        <w:pStyle w:val="ListParagraph"/>
        <w:ind w:left="0"/>
        <w:rPr>
          <w:b/>
          <w:sz w:val="24"/>
        </w:rPr>
      </w:pPr>
    </w:p>
    <w:p w:rsidR="00AF3D25" w:rsidRDefault="00AF3D25" w:rsidP="00225651">
      <w:pPr>
        <w:pStyle w:val="ListParagraph"/>
        <w:numPr>
          <w:ilvl w:val="0"/>
          <w:numId w:val="6"/>
        </w:numPr>
        <w:rPr>
          <w:sz w:val="24"/>
        </w:rPr>
      </w:pPr>
      <w:r>
        <w:rPr>
          <w:sz w:val="24"/>
        </w:rPr>
        <w:t xml:space="preserve">Of </w:t>
      </w:r>
      <w:proofErr w:type="gramStart"/>
      <w:r>
        <w:rPr>
          <w:sz w:val="24"/>
        </w:rPr>
        <w:t>all the</w:t>
      </w:r>
      <w:proofErr w:type="gramEnd"/>
      <w:r>
        <w:rPr>
          <w:sz w:val="24"/>
        </w:rPr>
        <w:t xml:space="preserve"> economic active in Great Britain, 37 per cent are 50-64yo, 33 per cent are 25-49yo and 30 per cent are 16-24yo.</w:t>
      </w:r>
    </w:p>
    <w:p w:rsidR="00AF3D25" w:rsidRDefault="00AF3D25" w:rsidP="00AF3D25">
      <w:pPr>
        <w:pStyle w:val="ListParagraph"/>
        <w:ind w:left="360"/>
        <w:rPr>
          <w:sz w:val="24"/>
        </w:rPr>
      </w:pPr>
    </w:p>
    <w:p w:rsidR="00225651" w:rsidRDefault="00225651" w:rsidP="00225651">
      <w:pPr>
        <w:pStyle w:val="ListParagraph"/>
        <w:numPr>
          <w:ilvl w:val="0"/>
          <w:numId w:val="6"/>
        </w:numPr>
        <w:rPr>
          <w:sz w:val="24"/>
        </w:rPr>
      </w:pPr>
      <w:r>
        <w:rPr>
          <w:sz w:val="24"/>
        </w:rPr>
        <w:t>Economic inactivity is higher among young people (38% among 16-24yo) and older people (27% among 50-64yo) and lower among the middle age group (13% among 25-49yo).</w:t>
      </w:r>
    </w:p>
    <w:p w:rsidR="00EA1579" w:rsidRDefault="00225651" w:rsidP="00225651">
      <w:pPr>
        <w:pStyle w:val="ListParagraph"/>
        <w:numPr>
          <w:ilvl w:val="0"/>
          <w:numId w:val="6"/>
        </w:numPr>
        <w:rPr>
          <w:sz w:val="24"/>
        </w:rPr>
      </w:pPr>
      <w:r>
        <w:rPr>
          <w:sz w:val="24"/>
        </w:rPr>
        <w:t xml:space="preserve">Much of the difference in economic inactivity among places kind of relates to the presence of universities. Cambridge, Oxford, Exeter have among the highest economic inactivity rates but they also have big students populations. </w:t>
      </w:r>
    </w:p>
    <w:p w:rsidR="00EA1579" w:rsidRDefault="00EA1579" w:rsidP="00225651">
      <w:pPr>
        <w:pStyle w:val="ListParagraph"/>
        <w:numPr>
          <w:ilvl w:val="0"/>
          <w:numId w:val="6"/>
        </w:numPr>
        <w:rPr>
          <w:sz w:val="24"/>
        </w:rPr>
      </w:pPr>
      <w:r>
        <w:rPr>
          <w:sz w:val="24"/>
        </w:rPr>
        <w:t xml:space="preserve">More interesting it is to look at the geography of 50-64 years old that are economic inactive. </w:t>
      </w:r>
    </w:p>
    <w:p w:rsidR="00EA1579" w:rsidRDefault="00EA1579" w:rsidP="00225651">
      <w:pPr>
        <w:pStyle w:val="ListParagraph"/>
        <w:numPr>
          <w:ilvl w:val="0"/>
          <w:numId w:val="6"/>
        </w:numPr>
        <w:rPr>
          <w:sz w:val="24"/>
        </w:rPr>
      </w:pPr>
      <w:r>
        <w:rPr>
          <w:sz w:val="24"/>
        </w:rPr>
        <w:lastRenderedPageBreak/>
        <w:t xml:space="preserve">The top 5 cities for economic inactivity among 50-64yo </w:t>
      </w:r>
      <w:proofErr w:type="gramStart"/>
      <w:r>
        <w:rPr>
          <w:sz w:val="24"/>
        </w:rPr>
        <w:t>are</w:t>
      </w:r>
      <w:proofErr w:type="gramEnd"/>
      <w:r>
        <w:rPr>
          <w:sz w:val="24"/>
        </w:rPr>
        <w:t>: Dundee (39%), Sunderland (36%), Blackburn (36%), Barnsley (36%) and Liverpool (36%).</w:t>
      </w:r>
    </w:p>
    <w:p w:rsidR="00EA1579" w:rsidRDefault="00EA1579" w:rsidP="00225651">
      <w:pPr>
        <w:pStyle w:val="ListParagraph"/>
        <w:numPr>
          <w:ilvl w:val="0"/>
          <w:numId w:val="6"/>
        </w:numPr>
        <w:rPr>
          <w:sz w:val="24"/>
        </w:rPr>
      </w:pPr>
      <w:r>
        <w:rPr>
          <w:sz w:val="24"/>
        </w:rPr>
        <w:t xml:space="preserve">In contrast, the cities with the lowest level of economic inactivity among the 50-64yo </w:t>
      </w:r>
      <w:proofErr w:type="gramStart"/>
      <w:r>
        <w:rPr>
          <w:sz w:val="24"/>
        </w:rPr>
        <w:t>are</w:t>
      </w:r>
      <w:proofErr w:type="gramEnd"/>
      <w:r>
        <w:rPr>
          <w:sz w:val="24"/>
        </w:rPr>
        <w:t>: Crawley (15%), Oxford (16%), Northampton (18%), Swindon (21%) and Gloucester (21%).</w:t>
      </w:r>
    </w:p>
    <w:p w:rsidR="00225651" w:rsidRPr="00EA1579" w:rsidRDefault="00EA1579" w:rsidP="00EA1579">
      <w:pPr>
        <w:rPr>
          <w:sz w:val="24"/>
        </w:rPr>
      </w:pPr>
      <w:r>
        <w:rPr>
          <w:noProof/>
          <w:sz w:val="24"/>
          <w:lang w:eastAsia="en-GB"/>
        </w:rPr>
        <w:drawing>
          <wp:anchor distT="0" distB="0" distL="114300" distR="114300" simplePos="0" relativeHeight="251659264" behindDoc="0" locked="0" layoutInCell="1" allowOverlap="1" wp14:anchorId="2C286A7E" wp14:editId="258A1BAC">
            <wp:simplePos x="0" y="0"/>
            <wp:positionH relativeFrom="column">
              <wp:posOffset>307975</wp:posOffset>
            </wp:positionH>
            <wp:positionV relativeFrom="paragraph">
              <wp:posOffset>194310</wp:posOffset>
            </wp:positionV>
            <wp:extent cx="5018405" cy="6017895"/>
            <wp:effectExtent l="0" t="0" r="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 50-64 econ inactive.jpg"/>
                    <pic:cNvPicPr/>
                  </pic:nvPicPr>
                  <pic:blipFill rotWithShape="1">
                    <a:blip r:embed="rId8">
                      <a:extLst>
                        <a:ext uri="{28A0092B-C50C-407E-A947-70E740481C1C}">
                          <a14:useLocalDpi xmlns:a14="http://schemas.microsoft.com/office/drawing/2010/main" val="0"/>
                        </a:ext>
                      </a:extLst>
                    </a:blip>
                    <a:srcRect l="6314" t="7617" r="5937" b="17929"/>
                    <a:stretch/>
                  </pic:blipFill>
                  <pic:spPr bwMode="auto">
                    <a:xfrm>
                      <a:off x="0" y="0"/>
                      <a:ext cx="5018405" cy="6017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5651" w:rsidRPr="00EA1579">
        <w:rPr>
          <w:sz w:val="24"/>
        </w:rPr>
        <w:t xml:space="preserve"> </w:t>
      </w:r>
    </w:p>
    <w:p w:rsidR="00225651" w:rsidRPr="00FF6CCF" w:rsidRDefault="00832FFD" w:rsidP="00832FFD">
      <w:pPr>
        <w:pStyle w:val="ListParagraph"/>
        <w:numPr>
          <w:ilvl w:val="0"/>
          <w:numId w:val="8"/>
        </w:numPr>
        <w:rPr>
          <w:b/>
          <w:sz w:val="24"/>
        </w:rPr>
      </w:pPr>
      <w:r>
        <w:rPr>
          <w:sz w:val="24"/>
        </w:rPr>
        <w:t>These differences seem to be related to the economic performance of places: those with a strong economy (i.e. higher GVA per worker) tend to have a lower share of 50-64yo that are economically inactive.</w:t>
      </w:r>
    </w:p>
    <w:p w:rsidR="00FF6CCF" w:rsidRDefault="00FF6CCF" w:rsidP="00FF6CCF">
      <w:pPr>
        <w:pStyle w:val="ListParagraph"/>
        <w:ind w:left="360"/>
        <w:rPr>
          <w:sz w:val="24"/>
        </w:rPr>
      </w:pPr>
    </w:p>
    <w:p w:rsidR="00FF6CCF" w:rsidRDefault="00FF6CCF" w:rsidP="00FF6CCF">
      <w:pPr>
        <w:pStyle w:val="ListParagraph"/>
        <w:ind w:left="360"/>
        <w:rPr>
          <w:sz w:val="24"/>
        </w:rPr>
      </w:pPr>
    </w:p>
    <w:p w:rsidR="00FF6CCF" w:rsidRPr="00832FFD" w:rsidRDefault="00FF6CCF" w:rsidP="00FF6CCF">
      <w:pPr>
        <w:pStyle w:val="ListParagraph"/>
        <w:ind w:left="360"/>
        <w:rPr>
          <w:b/>
          <w:sz w:val="24"/>
        </w:rPr>
      </w:pPr>
    </w:p>
    <w:p w:rsidR="00832FFD" w:rsidRPr="00832FFD" w:rsidRDefault="00FF6CCF" w:rsidP="00832FFD">
      <w:pPr>
        <w:pStyle w:val="ListParagraph"/>
        <w:numPr>
          <w:ilvl w:val="0"/>
          <w:numId w:val="8"/>
        </w:numPr>
        <w:rPr>
          <w:b/>
          <w:sz w:val="24"/>
        </w:rPr>
      </w:pPr>
      <w:r>
        <w:rPr>
          <w:noProof/>
          <w:lang w:eastAsia="en-GB"/>
        </w:rPr>
        <w:drawing>
          <wp:anchor distT="0" distB="0" distL="114300" distR="114300" simplePos="0" relativeHeight="251660288" behindDoc="0" locked="0" layoutInCell="1" allowOverlap="1" wp14:anchorId="19F65122" wp14:editId="1993530E">
            <wp:simplePos x="0" y="0"/>
            <wp:positionH relativeFrom="column">
              <wp:posOffset>287020</wp:posOffset>
            </wp:positionH>
            <wp:positionV relativeFrom="paragraph">
              <wp:posOffset>4445</wp:posOffset>
            </wp:positionV>
            <wp:extent cx="5081905" cy="3019425"/>
            <wp:effectExtent l="0" t="0" r="4445" b="0"/>
            <wp:wrapTopAndBottom/>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r w:rsidR="00832FFD">
        <w:rPr>
          <w:sz w:val="24"/>
        </w:rPr>
        <w:t xml:space="preserve">This could also be related to the decline in manufacturing and mining over the last 50 years and the impact the policy response the government adopted. </w:t>
      </w:r>
    </w:p>
    <w:p w:rsidR="00EA1579" w:rsidRDefault="00FF6CCF" w:rsidP="00827717">
      <w:pPr>
        <w:pStyle w:val="ListParagraph"/>
        <w:ind w:left="0"/>
        <w:rPr>
          <w:b/>
          <w:sz w:val="24"/>
        </w:rPr>
      </w:pPr>
      <w:r>
        <w:rPr>
          <w:noProof/>
          <w:lang w:eastAsia="en-GB"/>
        </w:rPr>
        <w:drawing>
          <wp:anchor distT="0" distB="0" distL="114300" distR="114300" simplePos="0" relativeHeight="251661312" behindDoc="0" locked="0" layoutInCell="1" allowOverlap="1" wp14:anchorId="3AC385A4" wp14:editId="79EAC6CE">
            <wp:simplePos x="0" y="0"/>
            <wp:positionH relativeFrom="column">
              <wp:posOffset>466725</wp:posOffset>
            </wp:positionH>
            <wp:positionV relativeFrom="paragraph">
              <wp:posOffset>347980</wp:posOffset>
            </wp:positionV>
            <wp:extent cx="5219700" cy="3319145"/>
            <wp:effectExtent l="0" t="0" r="0" b="0"/>
            <wp:wrapTopAndBottom/>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rsidR="00F77412" w:rsidRDefault="00F77412" w:rsidP="00827717">
      <w:pPr>
        <w:pStyle w:val="ListParagraph"/>
        <w:ind w:left="0"/>
        <w:rPr>
          <w:b/>
          <w:sz w:val="24"/>
        </w:rPr>
      </w:pPr>
    </w:p>
    <w:p w:rsidR="004E27D5" w:rsidRDefault="004E27D5" w:rsidP="00827717">
      <w:pPr>
        <w:pStyle w:val="ListParagraph"/>
        <w:ind w:left="0"/>
        <w:rPr>
          <w:b/>
          <w:sz w:val="24"/>
        </w:rPr>
      </w:pPr>
      <w:r>
        <w:rPr>
          <w:b/>
          <w:sz w:val="24"/>
        </w:rPr>
        <w:t>Breakdown by qualification (Census)</w:t>
      </w:r>
    </w:p>
    <w:p w:rsidR="00DD1929" w:rsidRDefault="00DD1929" w:rsidP="00827717">
      <w:pPr>
        <w:pStyle w:val="ListParagraph"/>
        <w:ind w:left="0"/>
        <w:rPr>
          <w:b/>
          <w:sz w:val="24"/>
        </w:rPr>
      </w:pPr>
    </w:p>
    <w:p w:rsidR="00DD1929" w:rsidRPr="00DD1929" w:rsidRDefault="00DD1929" w:rsidP="00DD1929">
      <w:pPr>
        <w:pStyle w:val="ListParagraph"/>
        <w:numPr>
          <w:ilvl w:val="0"/>
          <w:numId w:val="8"/>
        </w:numPr>
        <w:rPr>
          <w:b/>
          <w:sz w:val="24"/>
        </w:rPr>
      </w:pPr>
      <w:r>
        <w:rPr>
          <w:sz w:val="24"/>
        </w:rPr>
        <w:t xml:space="preserve">Despite accounting for 30 per cent of the working age population of England and Wales, people with few or no qualifications account for 46 per cent of the working age population that is economically inactive. </w:t>
      </w:r>
    </w:p>
    <w:p w:rsidR="00DD1929" w:rsidRDefault="00DD1929" w:rsidP="00DD1929">
      <w:pPr>
        <w:pStyle w:val="ListParagraph"/>
        <w:numPr>
          <w:ilvl w:val="0"/>
          <w:numId w:val="8"/>
        </w:numPr>
        <w:rPr>
          <w:b/>
          <w:sz w:val="24"/>
        </w:rPr>
      </w:pPr>
      <w:r>
        <w:rPr>
          <w:sz w:val="24"/>
        </w:rPr>
        <w:lastRenderedPageBreak/>
        <w:t>In contrast, people with higher-skilled qualifications account for 30 per cent of the working age population but only for 16 per cent of the economically inactive population of England and Wales.</w:t>
      </w:r>
    </w:p>
    <w:p w:rsidR="00315F84" w:rsidRDefault="00163C5E" w:rsidP="00827717">
      <w:pPr>
        <w:pStyle w:val="ListParagraph"/>
        <w:ind w:left="0"/>
        <w:rPr>
          <w:b/>
          <w:sz w:val="24"/>
        </w:rPr>
      </w:pPr>
      <w:r>
        <w:rPr>
          <w:noProof/>
          <w:lang w:eastAsia="en-GB"/>
        </w:rPr>
        <w:drawing>
          <wp:anchor distT="0" distB="0" distL="114300" distR="114300" simplePos="0" relativeHeight="251657215" behindDoc="0" locked="0" layoutInCell="1" allowOverlap="1" wp14:anchorId="6D5477C6" wp14:editId="5C83E3E9">
            <wp:simplePos x="0" y="0"/>
            <wp:positionH relativeFrom="column">
              <wp:posOffset>-542925</wp:posOffset>
            </wp:positionH>
            <wp:positionV relativeFrom="paragraph">
              <wp:posOffset>229235</wp:posOffset>
            </wp:positionV>
            <wp:extent cx="4422775" cy="2573020"/>
            <wp:effectExtent l="0" t="0" r="0" b="0"/>
            <wp:wrapTopAndBottom/>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2336" behindDoc="0" locked="0" layoutInCell="1" allowOverlap="1" wp14:anchorId="7CDCEDF9" wp14:editId="42A2744D">
            <wp:simplePos x="0" y="0"/>
            <wp:positionH relativeFrom="column">
              <wp:posOffset>2083435</wp:posOffset>
            </wp:positionH>
            <wp:positionV relativeFrom="paragraph">
              <wp:posOffset>229870</wp:posOffset>
            </wp:positionV>
            <wp:extent cx="4422775" cy="2573020"/>
            <wp:effectExtent l="0" t="0" r="0" b="0"/>
            <wp:wrapTopAndBottom/>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p>
    <w:p w:rsidR="00DD1929" w:rsidRDefault="00DD1929" w:rsidP="00827717">
      <w:pPr>
        <w:pStyle w:val="ListParagraph"/>
        <w:ind w:left="0"/>
        <w:rPr>
          <w:b/>
          <w:sz w:val="24"/>
        </w:rPr>
      </w:pPr>
    </w:p>
    <w:p w:rsidR="00315F84" w:rsidRPr="00315F84" w:rsidRDefault="00315F84" w:rsidP="00315F84">
      <w:pPr>
        <w:pStyle w:val="ListParagraph"/>
        <w:numPr>
          <w:ilvl w:val="0"/>
          <w:numId w:val="8"/>
        </w:numPr>
        <w:rPr>
          <w:b/>
          <w:sz w:val="24"/>
        </w:rPr>
      </w:pPr>
      <w:r>
        <w:rPr>
          <w:sz w:val="24"/>
        </w:rPr>
        <w:t>But there is variation across the country: in Mansfield and Barnsley, low-skilled people account for two-thirds of the economically inactive, in Wakefield for 60 per cent of the economic inactive.</w:t>
      </w:r>
    </w:p>
    <w:p w:rsidR="00BB6AEA" w:rsidRPr="00BB6AEA" w:rsidRDefault="00315F84" w:rsidP="00BB6AEA">
      <w:pPr>
        <w:pStyle w:val="ListParagraph"/>
        <w:numPr>
          <w:ilvl w:val="0"/>
          <w:numId w:val="8"/>
        </w:numPr>
        <w:rPr>
          <w:b/>
          <w:sz w:val="24"/>
        </w:rPr>
      </w:pPr>
      <w:r>
        <w:rPr>
          <w:sz w:val="24"/>
        </w:rPr>
        <w:t xml:space="preserve">On the other hand, only 16 per cent of the economically inactive in Cambridge are low-skilled </w:t>
      </w:r>
      <w:r w:rsidR="00BB6AEA">
        <w:rPr>
          <w:sz w:val="24"/>
        </w:rPr>
        <w:t>and 20 per cent in Oxford.</w:t>
      </w:r>
    </w:p>
    <w:p w:rsidR="00BB6AEA" w:rsidRPr="00BB6AEA" w:rsidRDefault="00BB6AEA" w:rsidP="00BB6AEA">
      <w:pPr>
        <w:pStyle w:val="ListParagraph"/>
        <w:ind w:left="360"/>
        <w:rPr>
          <w:b/>
          <w:sz w:val="24"/>
        </w:rPr>
      </w:pPr>
    </w:p>
    <w:p w:rsidR="00BB6AEA" w:rsidRPr="00BB6AEA" w:rsidRDefault="00BB6AEA" w:rsidP="00BB6AEA">
      <w:pPr>
        <w:pStyle w:val="ListParagraph"/>
        <w:numPr>
          <w:ilvl w:val="0"/>
          <w:numId w:val="8"/>
        </w:numPr>
        <w:rPr>
          <w:b/>
          <w:sz w:val="24"/>
        </w:rPr>
      </w:pPr>
      <w:r w:rsidRPr="00BB6AEA">
        <w:rPr>
          <w:sz w:val="24"/>
        </w:rPr>
        <w:t>Low-skilled people are much more likely to be economically inactive than those with higher-level qualifications.</w:t>
      </w:r>
    </w:p>
    <w:p w:rsidR="00F145B8" w:rsidRPr="00F145B8" w:rsidRDefault="00163C5E" w:rsidP="00F145B8">
      <w:pPr>
        <w:pStyle w:val="ListParagraph"/>
        <w:numPr>
          <w:ilvl w:val="0"/>
          <w:numId w:val="8"/>
        </w:numPr>
        <w:rPr>
          <w:b/>
          <w:sz w:val="24"/>
        </w:rPr>
      </w:pPr>
      <w:r>
        <w:rPr>
          <w:noProof/>
          <w:lang w:eastAsia="en-GB"/>
        </w:rPr>
        <w:drawing>
          <wp:anchor distT="0" distB="0" distL="114300" distR="114300" simplePos="0" relativeHeight="251663360" behindDoc="0" locked="0" layoutInCell="1" allowOverlap="1" wp14:anchorId="23D0EB6D" wp14:editId="20E483F3">
            <wp:simplePos x="0" y="0"/>
            <wp:positionH relativeFrom="column">
              <wp:posOffset>276225</wp:posOffset>
            </wp:positionH>
            <wp:positionV relativeFrom="paragraph">
              <wp:posOffset>1087120</wp:posOffset>
            </wp:positionV>
            <wp:extent cx="4570095" cy="2743200"/>
            <wp:effectExtent l="0" t="0" r="0" b="0"/>
            <wp:wrapTopAndBottom/>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00BB6AEA">
        <w:rPr>
          <w:sz w:val="24"/>
        </w:rPr>
        <w:t xml:space="preserve">36 per cent of all low-skilled in England and Wales are economically inactive, but the share is even higher in places with weaker economies: in Blackburn, 45 per cent of low-skilled people are economically inactive, in Liverpool 44 per cent and in Swansea 43 per cent. </w:t>
      </w:r>
    </w:p>
    <w:p w:rsidR="00F145B8" w:rsidRDefault="00F145B8" w:rsidP="00F145B8">
      <w:pPr>
        <w:pStyle w:val="ListParagraph"/>
        <w:ind w:left="360"/>
        <w:rPr>
          <w:b/>
          <w:sz w:val="24"/>
        </w:rPr>
      </w:pPr>
    </w:p>
    <w:p w:rsidR="00D97E36" w:rsidRDefault="00D97E36" w:rsidP="00D97E36">
      <w:pPr>
        <w:rPr>
          <w:b/>
          <w:sz w:val="24"/>
        </w:rPr>
      </w:pPr>
      <w:r>
        <w:rPr>
          <w:b/>
          <w:sz w:val="24"/>
        </w:rPr>
        <w:t>Breakdown by living arrangement (Census)</w:t>
      </w:r>
    </w:p>
    <w:p w:rsidR="00D97E36" w:rsidRPr="006C2EFB" w:rsidRDefault="00D97E36" w:rsidP="00D97E36">
      <w:pPr>
        <w:pStyle w:val="ListParagraph"/>
        <w:numPr>
          <w:ilvl w:val="0"/>
          <w:numId w:val="8"/>
        </w:numPr>
        <w:rPr>
          <w:b/>
          <w:sz w:val="24"/>
        </w:rPr>
      </w:pPr>
      <w:r>
        <w:rPr>
          <w:sz w:val="24"/>
        </w:rPr>
        <w:t xml:space="preserve">On average, 36 per cent </w:t>
      </w:r>
      <w:r w:rsidR="006C2EFB">
        <w:rPr>
          <w:sz w:val="24"/>
        </w:rPr>
        <w:t xml:space="preserve">of those 16 years old or over were economically inactive in 2011 in England and Wales. However, the percentage is lower for those living in a couple: only 32 per cent were economically </w:t>
      </w:r>
      <w:proofErr w:type="gramStart"/>
      <w:r w:rsidR="006C2EFB">
        <w:rPr>
          <w:sz w:val="24"/>
        </w:rPr>
        <w:t>inactive,</w:t>
      </w:r>
      <w:proofErr w:type="gramEnd"/>
      <w:r w:rsidR="006C2EFB">
        <w:rPr>
          <w:sz w:val="24"/>
        </w:rPr>
        <w:t xml:space="preserve"> and higher for those living on their own, 41 per cent of those not living in a couple were economically inactive in 2011.</w:t>
      </w:r>
    </w:p>
    <w:p w:rsidR="006C2EFB" w:rsidRPr="006C2EFB" w:rsidRDefault="006C2EFB" w:rsidP="006C2EFB">
      <w:pPr>
        <w:pStyle w:val="ListParagraph"/>
        <w:ind w:left="360"/>
        <w:rPr>
          <w:b/>
          <w:sz w:val="24"/>
        </w:rPr>
      </w:pPr>
    </w:p>
    <w:p w:rsidR="006C2EFB" w:rsidRPr="006C2EFB" w:rsidRDefault="006C2EFB" w:rsidP="006C2EFB">
      <w:pPr>
        <w:pStyle w:val="ListParagraph"/>
        <w:numPr>
          <w:ilvl w:val="0"/>
          <w:numId w:val="8"/>
        </w:numPr>
        <w:rPr>
          <w:b/>
          <w:sz w:val="24"/>
        </w:rPr>
      </w:pPr>
      <w:r>
        <w:rPr>
          <w:sz w:val="24"/>
        </w:rPr>
        <w:t xml:space="preserve">Of all the economic inactive in England and Wales, 48 per cent were not in a couple. </w:t>
      </w:r>
    </w:p>
    <w:p w:rsidR="006C2EFB" w:rsidRPr="006C2EFB" w:rsidRDefault="006C2EFB" w:rsidP="006C2EFB">
      <w:pPr>
        <w:pStyle w:val="ListParagraph"/>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Default="006C2EFB" w:rsidP="006C2EFB">
      <w:pPr>
        <w:pStyle w:val="ListParagraph"/>
        <w:ind w:left="360"/>
        <w:rPr>
          <w:b/>
          <w:sz w:val="24"/>
        </w:rPr>
      </w:pPr>
    </w:p>
    <w:p w:rsidR="006C2EFB" w:rsidRPr="006C2EFB" w:rsidRDefault="006C2EFB" w:rsidP="006C2EFB">
      <w:pPr>
        <w:pStyle w:val="ListParagraph"/>
        <w:ind w:left="360"/>
        <w:rPr>
          <w:b/>
          <w:sz w:val="24"/>
        </w:rPr>
      </w:pPr>
    </w:p>
    <w:p w:rsidR="00BB6AEA" w:rsidRDefault="00442E53" w:rsidP="00442E53">
      <w:pPr>
        <w:pStyle w:val="ListParagraph"/>
        <w:numPr>
          <w:ilvl w:val="0"/>
          <w:numId w:val="1"/>
        </w:numPr>
        <w:rPr>
          <w:b/>
          <w:sz w:val="24"/>
        </w:rPr>
      </w:pPr>
      <w:r>
        <w:rPr>
          <w:b/>
          <w:sz w:val="24"/>
        </w:rPr>
        <w:lastRenderedPageBreak/>
        <w:t xml:space="preserve">Why are people economically inactive? </w:t>
      </w:r>
    </w:p>
    <w:p w:rsidR="00F145B8" w:rsidRPr="00DD41A4" w:rsidRDefault="00DD41A4" w:rsidP="00DD41A4">
      <w:pPr>
        <w:rPr>
          <w:b/>
          <w:sz w:val="24"/>
        </w:rPr>
      </w:pPr>
      <w:r>
        <w:rPr>
          <w:b/>
          <w:sz w:val="24"/>
        </w:rPr>
        <w:t>Breakdown by reason</w:t>
      </w:r>
    </w:p>
    <w:p w:rsidR="00974848" w:rsidRPr="00974848" w:rsidRDefault="00F145B8" w:rsidP="00974848">
      <w:pPr>
        <w:pStyle w:val="ListParagraph"/>
        <w:numPr>
          <w:ilvl w:val="0"/>
          <w:numId w:val="8"/>
        </w:numPr>
        <w:rPr>
          <w:b/>
          <w:sz w:val="24"/>
        </w:rPr>
      </w:pPr>
      <w:r>
        <w:rPr>
          <w:noProof/>
          <w:lang w:eastAsia="en-GB"/>
        </w:rPr>
        <w:drawing>
          <wp:anchor distT="0" distB="0" distL="114300" distR="114300" simplePos="0" relativeHeight="251664384" behindDoc="0" locked="0" layoutInCell="1" allowOverlap="1" wp14:anchorId="3B30D8BB" wp14:editId="5BF74364">
            <wp:simplePos x="0" y="0"/>
            <wp:positionH relativeFrom="column">
              <wp:posOffset>287020</wp:posOffset>
            </wp:positionH>
            <wp:positionV relativeFrom="paragraph">
              <wp:posOffset>666750</wp:posOffset>
            </wp:positionV>
            <wp:extent cx="4572000" cy="2743200"/>
            <wp:effectExtent l="0" t="0" r="0" b="0"/>
            <wp:wrapTopAndBottom/>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r>
        <w:rPr>
          <w:sz w:val="24"/>
        </w:rPr>
        <w:t xml:space="preserve">27 per cent of the economic inactive in Greater Britain are students, 25 per cent are looking after family/home and 22 per cent are long-term sick. </w:t>
      </w:r>
    </w:p>
    <w:p w:rsidR="00974848" w:rsidRPr="00974848" w:rsidRDefault="00974848" w:rsidP="00974848">
      <w:pPr>
        <w:pStyle w:val="ListParagraph"/>
        <w:ind w:left="360"/>
        <w:rPr>
          <w:b/>
          <w:sz w:val="24"/>
        </w:rPr>
      </w:pPr>
    </w:p>
    <w:p w:rsidR="00974848" w:rsidRPr="00974848" w:rsidRDefault="00974848" w:rsidP="00974848">
      <w:pPr>
        <w:pStyle w:val="ListParagraph"/>
        <w:numPr>
          <w:ilvl w:val="0"/>
          <w:numId w:val="8"/>
        </w:numPr>
        <w:rPr>
          <w:b/>
          <w:sz w:val="24"/>
        </w:rPr>
      </w:pPr>
      <w:r w:rsidRPr="00974848">
        <w:rPr>
          <w:sz w:val="24"/>
        </w:rPr>
        <w:t xml:space="preserve">There is a strong positive relationship between economic inactivity of ethnic minorities and people that are economically inactive and look after family/home (i.e. basically work but not in the labour market). </w:t>
      </w:r>
    </w:p>
    <w:p w:rsidR="00DD41A4" w:rsidRPr="00DD41A4" w:rsidRDefault="00DD41A4" w:rsidP="00DD41A4">
      <w:pPr>
        <w:pStyle w:val="ListParagraph"/>
        <w:rPr>
          <w:sz w:val="24"/>
        </w:rPr>
      </w:pPr>
    </w:p>
    <w:p w:rsidR="00974848" w:rsidRPr="00974848" w:rsidRDefault="00974848" w:rsidP="00974848">
      <w:pPr>
        <w:pStyle w:val="ListParagraph"/>
        <w:numPr>
          <w:ilvl w:val="0"/>
          <w:numId w:val="8"/>
        </w:numPr>
        <w:rPr>
          <w:b/>
          <w:sz w:val="24"/>
        </w:rPr>
      </w:pPr>
      <w:r>
        <w:rPr>
          <w:noProof/>
          <w:lang w:eastAsia="en-GB"/>
        </w:rPr>
        <w:drawing>
          <wp:anchor distT="0" distB="0" distL="114300" distR="114300" simplePos="0" relativeHeight="251665408" behindDoc="0" locked="0" layoutInCell="1" allowOverlap="1" wp14:anchorId="17B237E3" wp14:editId="2B16D017">
            <wp:simplePos x="0" y="0"/>
            <wp:positionH relativeFrom="column">
              <wp:posOffset>733425</wp:posOffset>
            </wp:positionH>
            <wp:positionV relativeFrom="paragraph">
              <wp:posOffset>984885</wp:posOffset>
            </wp:positionV>
            <wp:extent cx="4572000" cy="2743200"/>
            <wp:effectExtent l="0" t="0" r="0" b="0"/>
            <wp:wrapTopAndBottom/>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Pr>
          <w:sz w:val="24"/>
        </w:rPr>
        <w:t xml:space="preserve">This suggests that in places like Slough, Luton and Bradford where the share of economic inactivity is high and strongly related to the demographic of the city, the numbers may hide part of the story: that is, these people are not active in the labour market but nevertheless work. </w:t>
      </w:r>
    </w:p>
    <w:p w:rsidR="00974848" w:rsidRPr="00BB7FE1" w:rsidRDefault="00DD41A4" w:rsidP="00BB7FE1">
      <w:pPr>
        <w:pStyle w:val="ListParagraph"/>
        <w:numPr>
          <w:ilvl w:val="0"/>
          <w:numId w:val="8"/>
        </w:numPr>
        <w:rPr>
          <w:b/>
          <w:sz w:val="24"/>
        </w:rPr>
      </w:pPr>
      <w:r>
        <w:rPr>
          <w:noProof/>
          <w:lang w:eastAsia="en-GB"/>
        </w:rPr>
        <w:lastRenderedPageBreak/>
        <w:drawing>
          <wp:anchor distT="0" distB="0" distL="114300" distR="114300" simplePos="0" relativeHeight="251666432" behindDoc="0" locked="0" layoutInCell="1" allowOverlap="1" wp14:anchorId="2967B788" wp14:editId="0AF8AF95">
            <wp:simplePos x="0" y="0"/>
            <wp:positionH relativeFrom="column">
              <wp:posOffset>678815</wp:posOffset>
            </wp:positionH>
            <wp:positionV relativeFrom="paragraph">
              <wp:posOffset>965200</wp:posOffset>
            </wp:positionV>
            <wp:extent cx="4133850" cy="2700020"/>
            <wp:effectExtent l="0" t="0" r="0" b="5080"/>
            <wp:wrapTopAndBottom/>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00BB7FE1">
        <w:rPr>
          <w:sz w:val="24"/>
        </w:rPr>
        <w:t>In contrast, there is a strong negative relationship between the share of economically inactive that are long-term sick and productivity. The cities with the lowest productivity, such as Mansfield, Barnsley and Blackburn have a much higher share of economically inactive that is long-term sick.</w:t>
      </w:r>
    </w:p>
    <w:p w:rsidR="00BB7FE1" w:rsidRDefault="00DD41A4" w:rsidP="00DD41A4">
      <w:pPr>
        <w:pStyle w:val="ListParagraph"/>
        <w:ind w:left="0"/>
        <w:rPr>
          <w:b/>
          <w:sz w:val="24"/>
        </w:rPr>
      </w:pPr>
      <w:r>
        <w:rPr>
          <w:b/>
          <w:sz w:val="24"/>
        </w:rPr>
        <w:t>Breakdown by whether they want a job or not</w:t>
      </w:r>
    </w:p>
    <w:p w:rsidR="00DD41A4" w:rsidRDefault="00DD41A4" w:rsidP="00DD41A4">
      <w:pPr>
        <w:pStyle w:val="ListParagraph"/>
        <w:ind w:left="0"/>
        <w:rPr>
          <w:b/>
          <w:sz w:val="24"/>
        </w:rPr>
      </w:pPr>
    </w:p>
    <w:p w:rsidR="00DD41A4" w:rsidRDefault="00DD41A4" w:rsidP="00DD41A4">
      <w:pPr>
        <w:pStyle w:val="ListParagraph"/>
        <w:numPr>
          <w:ilvl w:val="0"/>
          <w:numId w:val="8"/>
        </w:numPr>
        <w:rPr>
          <w:sz w:val="24"/>
        </w:rPr>
      </w:pPr>
      <w:r>
        <w:rPr>
          <w:sz w:val="24"/>
        </w:rPr>
        <w:t>When splitting the economic inactive between those who do want a job and those who do not want a job, it emerges that the vast majority of economically inactive in Great Britain does not want a job (77%).</w:t>
      </w:r>
    </w:p>
    <w:p w:rsidR="00BF3BA9" w:rsidRDefault="00BF3BA9" w:rsidP="00DD41A4">
      <w:pPr>
        <w:pStyle w:val="ListParagraph"/>
        <w:numPr>
          <w:ilvl w:val="0"/>
          <w:numId w:val="8"/>
        </w:numPr>
        <w:rPr>
          <w:sz w:val="24"/>
        </w:rPr>
      </w:pPr>
      <w:r>
        <w:rPr>
          <w:sz w:val="24"/>
        </w:rPr>
        <w:t xml:space="preserve">There is variation between cities, with Chatham being the </w:t>
      </w:r>
      <w:proofErr w:type="gramStart"/>
      <w:r>
        <w:rPr>
          <w:sz w:val="24"/>
        </w:rPr>
        <w:t>city with the higher share of economically inactive that do</w:t>
      </w:r>
      <w:proofErr w:type="gramEnd"/>
      <w:r>
        <w:rPr>
          <w:sz w:val="24"/>
        </w:rPr>
        <w:t xml:space="preserve"> want a job (41%) and Birkenhead the city with the lowest share (11%), but these differences seems not to relate to any measures of economic performance of other characteristics of cities in particular.</w:t>
      </w:r>
    </w:p>
    <w:p w:rsidR="00BF3BA9" w:rsidRDefault="00BF3BA9" w:rsidP="00BF3BA9">
      <w:pPr>
        <w:pStyle w:val="ListParagraph"/>
        <w:ind w:left="360"/>
        <w:rPr>
          <w:sz w:val="24"/>
        </w:rPr>
      </w:pPr>
    </w:p>
    <w:tbl>
      <w:tblPr>
        <w:tblStyle w:val="TableGrid"/>
        <w:tblW w:w="0" w:type="auto"/>
        <w:jc w:val="center"/>
        <w:tblLook w:val="04A0" w:firstRow="1" w:lastRow="0" w:firstColumn="1" w:lastColumn="0" w:noHBand="0" w:noVBand="1"/>
      </w:tblPr>
      <w:tblGrid>
        <w:gridCol w:w="3080"/>
        <w:gridCol w:w="3081"/>
      </w:tblGrid>
      <w:tr w:rsidR="00BF3BA9" w:rsidRPr="00BF3BA9" w:rsidTr="00BF3BA9">
        <w:trPr>
          <w:jc w:val="center"/>
        </w:trPr>
        <w:tc>
          <w:tcPr>
            <w:tcW w:w="3080" w:type="dxa"/>
            <w:vAlign w:val="center"/>
          </w:tcPr>
          <w:p w:rsidR="00BF3BA9" w:rsidRPr="00BF3BA9" w:rsidRDefault="00BF3BA9" w:rsidP="00BF3BA9">
            <w:pPr>
              <w:rPr>
                <w:b/>
                <w:sz w:val="24"/>
              </w:rPr>
            </w:pPr>
            <w:r w:rsidRPr="00BF3BA9">
              <w:rPr>
                <w:b/>
                <w:sz w:val="24"/>
              </w:rPr>
              <w:t>Variable</w:t>
            </w:r>
          </w:p>
        </w:tc>
        <w:tc>
          <w:tcPr>
            <w:tcW w:w="3081" w:type="dxa"/>
            <w:vAlign w:val="center"/>
          </w:tcPr>
          <w:p w:rsidR="00BF3BA9" w:rsidRPr="00BF3BA9" w:rsidRDefault="00BF3BA9" w:rsidP="00BF3BA9">
            <w:pPr>
              <w:rPr>
                <w:b/>
                <w:sz w:val="24"/>
              </w:rPr>
            </w:pPr>
            <w:r w:rsidRPr="00BF3BA9">
              <w:rPr>
                <w:b/>
                <w:sz w:val="24"/>
              </w:rPr>
              <w:t>Correlation to share of economically inactive that do want a job</w:t>
            </w:r>
          </w:p>
        </w:tc>
      </w:tr>
      <w:tr w:rsidR="00C45AF6" w:rsidTr="00BF3BA9">
        <w:trPr>
          <w:jc w:val="center"/>
        </w:trPr>
        <w:tc>
          <w:tcPr>
            <w:tcW w:w="3080" w:type="dxa"/>
          </w:tcPr>
          <w:p w:rsidR="00C45AF6" w:rsidRDefault="00C45AF6" w:rsidP="00BF3BA9">
            <w:pPr>
              <w:rPr>
                <w:sz w:val="24"/>
              </w:rPr>
            </w:pPr>
            <w:r>
              <w:rPr>
                <w:sz w:val="24"/>
              </w:rPr>
              <w:t>Welfare spend per capita</w:t>
            </w:r>
          </w:p>
        </w:tc>
        <w:tc>
          <w:tcPr>
            <w:tcW w:w="3081" w:type="dxa"/>
          </w:tcPr>
          <w:p w:rsidR="00C45AF6" w:rsidRDefault="00C45AF6" w:rsidP="00BF3BA9">
            <w:pPr>
              <w:rPr>
                <w:sz w:val="24"/>
              </w:rPr>
            </w:pPr>
            <w:r>
              <w:rPr>
                <w:sz w:val="24"/>
              </w:rPr>
              <w:t>0.15</w:t>
            </w:r>
          </w:p>
        </w:tc>
      </w:tr>
      <w:tr w:rsidR="00C45AF6" w:rsidTr="00BF3BA9">
        <w:trPr>
          <w:jc w:val="center"/>
        </w:trPr>
        <w:tc>
          <w:tcPr>
            <w:tcW w:w="3080" w:type="dxa"/>
          </w:tcPr>
          <w:p w:rsidR="00C45AF6" w:rsidRDefault="00C45AF6" w:rsidP="00BF3BA9">
            <w:pPr>
              <w:rPr>
                <w:sz w:val="24"/>
              </w:rPr>
            </w:pPr>
            <w:r>
              <w:rPr>
                <w:sz w:val="24"/>
              </w:rPr>
              <w:t>Population aged 45-64yo</w:t>
            </w:r>
          </w:p>
        </w:tc>
        <w:tc>
          <w:tcPr>
            <w:tcW w:w="3081" w:type="dxa"/>
          </w:tcPr>
          <w:p w:rsidR="00C45AF6" w:rsidRDefault="00C45AF6" w:rsidP="00BF3BA9">
            <w:pPr>
              <w:rPr>
                <w:sz w:val="24"/>
              </w:rPr>
            </w:pPr>
            <w:r>
              <w:rPr>
                <w:sz w:val="24"/>
              </w:rPr>
              <w:t>0.14</w:t>
            </w:r>
          </w:p>
        </w:tc>
      </w:tr>
      <w:tr w:rsidR="00C45AF6" w:rsidTr="00BF3BA9">
        <w:trPr>
          <w:jc w:val="center"/>
        </w:trPr>
        <w:tc>
          <w:tcPr>
            <w:tcW w:w="3080" w:type="dxa"/>
          </w:tcPr>
          <w:p w:rsidR="00C45AF6" w:rsidRDefault="00C45AF6" w:rsidP="00BF3BA9">
            <w:pPr>
              <w:rPr>
                <w:sz w:val="24"/>
              </w:rPr>
            </w:pPr>
            <w:r>
              <w:rPr>
                <w:sz w:val="24"/>
              </w:rPr>
              <w:t>GVA per worker</w:t>
            </w:r>
          </w:p>
        </w:tc>
        <w:tc>
          <w:tcPr>
            <w:tcW w:w="3081" w:type="dxa"/>
          </w:tcPr>
          <w:p w:rsidR="00C45AF6" w:rsidRDefault="00C45AF6" w:rsidP="00BF3BA9">
            <w:pPr>
              <w:rPr>
                <w:sz w:val="24"/>
              </w:rPr>
            </w:pPr>
            <w:r>
              <w:rPr>
                <w:sz w:val="24"/>
              </w:rPr>
              <w:t>-0.04</w:t>
            </w:r>
          </w:p>
        </w:tc>
      </w:tr>
      <w:tr w:rsidR="00C45AF6" w:rsidTr="00BF3BA9">
        <w:trPr>
          <w:jc w:val="center"/>
        </w:trPr>
        <w:tc>
          <w:tcPr>
            <w:tcW w:w="3080" w:type="dxa"/>
          </w:tcPr>
          <w:p w:rsidR="00C45AF6" w:rsidRDefault="00C45AF6" w:rsidP="00BF3BA9">
            <w:pPr>
              <w:rPr>
                <w:sz w:val="24"/>
              </w:rPr>
            </w:pPr>
            <w:r>
              <w:rPr>
                <w:sz w:val="24"/>
              </w:rPr>
              <w:t>High-skilled population</w:t>
            </w:r>
          </w:p>
        </w:tc>
        <w:tc>
          <w:tcPr>
            <w:tcW w:w="3081" w:type="dxa"/>
          </w:tcPr>
          <w:p w:rsidR="00C45AF6" w:rsidRDefault="00C45AF6" w:rsidP="00BF3BA9">
            <w:pPr>
              <w:rPr>
                <w:sz w:val="24"/>
              </w:rPr>
            </w:pPr>
            <w:r>
              <w:rPr>
                <w:sz w:val="24"/>
              </w:rPr>
              <w:t>-0.10</w:t>
            </w:r>
          </w:p>
        </w:tc>
      </w:tr>
      <w:tr w:rsidR="00C45AF6" w:rsidTr="00BF3BA9">
        <w:trPr>
          <w:jc w:val="center"/>
        </w:trPr>
        <w:tc>
          <w:tcPr>
            <w:tcW w:w="3080" w:type="dxa"/>
          </w:tcPr>
          <w:p w:rsidR="00C45AF6" w:rsidRDefault="00C45AF6" w:rsidP="00BF3BA9">
            <w:pPr>
              <w:rPr>
                <w:sz w:val="24"/>
              </w:rPr>
            </w:pPr>
            <w:r>
              <w:rPr>
                <w:sz w:val="24"/>
              </w:rPr>
              <w:t>No-skilled population</w:t>
            </w:r>
          </w:p>
        </w:tc>
        <w:tc>
          <w:tcPr>
            <w:tcW w:w="3081" w:type="dxa"/>
          </w:tcPr>
          <w:p w:rsidR="00C45AF6" w:rsidRDefault="00C45AF6" w:rsidP="00BF3BA9">
            <w:pPr>
              <w:rPr>
                <w:sz w:val="24"/>
              </w:rPr>
            </w:pPr>
            <w:r>
              <w:rPr>
                <w:sz w:val="24"/>
              </w:rPr>
              <w:t>-0.19</w:t>
            </w:r>
          </w:p>
        </w:tc>
      </w:tr>
      <w:tr w:rsidR="00C45AF6" w:rsidTr="00BF3BA9">
        <w:trPr>
          <w:jc w:val="center"/>
        </w:trPr>
        <w:tc>
          <w:tcPr>
            <w:tcW w:w="3080" w:type="dxa"/>
          </w:tcPr>
          <w:p w:rsidR="00C45AF6" w:rsidRDefault="00C45AF6" w:rsidP="00BF3BA9">
            <w:pPr>
              <w:rPr>
                <w:sz w:val="24"/>
              </w:rPr>
            </w:pPr>
            <w:r>
              <w:rPr>
                <w:sz w:val="24"/>
              </w:rPr>
              <w:t>Share of KIBS</w:t>
            </w:r>
          </w:p>
        </w:tc>
        <w:tc>
          <w:tcPr>
            <w:tcW w:w="3081" w:type="dxa"/>
          </w:tcPr>
          <w:p w:rsidR="00C45AF6" w:rsidRDefault="00C45AF6" w:rsidP="00BF3BA9">
            <w:pPr>
              <w:rPr>
                <w:sz w:val="24"/>
              </w:rPr>
            </w:pPr>
            <w:r>
              <w:rPr>
                <w:sz w:val="24"/>
              </w:rPr>
              <w:t>-0.30</w:t>
            </w:r>
          </w:p>
        </w:tc>
      </w:tr>
    </w:tbl>
    <w:p w:rsidR="00BF3BA9" w:rsidRDefault="00BF3BA9" w:rsidP="00BF3BA9">
      <w:pPr>
        <w:rPr>
          <w:sz w:val="24"/>
        </w:rPr>
      </w:pPr>
    </w:p>
    <w:p w:rsidR="00C45AF6" w:rsidRDefault="00C45AF6" w:rsidP="00BF3BA9">
      <w:pPr>
        <w:rPr>
          <w:sz w:val="24"/>
        </w:rPr>
      </w:pPr>
    </w:p>
    <w:p w:rsidR="00C45AF6" w:rsidRDefault="00C45AF6" w:rsidP="00BF3BA9">
      <w:pPr>
        <w:rPr>
          <w:sz w:val="24"/>
        </w:rPr>
      </w:pPr>
    </w:p>
    <w:p w:rsidR="00C45AF6" w:rsidRDefault="00C45AF6" w:rsidP="00BF3BA9">
      <w:pPr>
        <w:rPr>
          <w:sz w:val="24"/>
        </w:rPr>
      </w:pPr>
      <w:r>
        <w:rPr>
          <w:noProof/>
          <w:lang w:eastAsia="en-GB"/>
        </w:rPr>
        <w:lastRenderedPageBreak/>
        <w:drawing>
          <wp:anchor distT="0" distB="0" distL="114300" distR="114300" simplePos="0" relativeHeight="251667456" behindDoc="0" locked="0" layoutInCell="1" allowOverlap="1">
            <wp:simplePos x="0" y="0"/>
            <wp:positionH relativeFrom="column">
              <wp:posOffset>690880</wp:posOffset>
            </wp:positionH>
            <wp:positionV relativeFrom="paragraph">
              <wp:posOffset>-635</wp:posOffset>
            </wp:positionV>
            <wp:extent cx="3689350" cy="8941435"/>
            <wp:effectExtent l="0" t="0" r="6350" b="0"/>
            <wp:wrapTopAndBottom/>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p>
    <w:p w:rsidR="00C45AF6" w:rsidRPr="00C45AF6" w:rsidRDefault="00C45AF6" w:rsidP="00C45AF6">
      <w:pPr>
        <w:pStyle w:val="ListParagraph"/>
        <w:numPr>
          <w:ilvl w:val="0"/>
          <w:numId w:val="8"/>
        </w:numPr>
        <w:rPr>
          <w:sz w:val="24"/>
        </w:rPr>
      </w:pPr>
      <w:r>
        <w:rPr>
          <w:noProof/>
          <w:lang w:eastAsia="en-GB"/>
        </w:rPr>
        <w:lastRenderedPageBreak/>
        <w:drawing>
          <wp:anchor distT="0" distB="0" distL="114300" distR="114300" simplePos="0" relativeHeight="251668480" behindDoc="0" locked="0" layoutInCell="1" allowOverlap="1" wp14:anchorId="773D657B" wp14:editId="096B2057">
            <wp:simplePos x="0" y="0"/>
            <wp:positionH relativeFrom="column">
              <wp:posOffset>372110</wp:posOffset>
            </wp:positionH>
            <wp:positionV relativeFrom="paragraph">
              <wp:posOffset>849630</wp:posOffset>
            </wp:positionV>
            <wp:extent cx="4572000" cy="2743200"/>
            <wp:effectExtent l="0" t="0" r="0" b="0"/>
            <wp:wrapTopAndBottom/>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r>
        <w:rPr>
          <w:sz w:val="24"/>
        </w:rPr>
        <w:t xml:space="preserve">Of all the indicators, the one that seems to better correlate with the share of economically inactive wanting a job is the share of knowledge intensive business services, but the correlation is weak. </w:t>
      </w:r>
    </w:p>
    <w:p w:rsidR="00C45AF6" w:rsidRDefault="00C45AF6" w:rsidP="00BF3BA9">
      <w:pPr>
        <w:rPr>
          <w:sz w:val="24"/>
        </w:rPr>
      </w:pPr>
    </w:p>
    <w:p w:rsidR="001372FC" w:rsidRDefault="001372FC" w:rsidP="001372FC">
      <w:pPr>
        <w:pStyle w:val="ListParagraph"/>
        <w:numPr>
          <w:ilvl w:val="0"/>
          <w:numId w:val="1"/>
        </w:numPr>
        <w:rPr>
          <w:b/>
          <w:sz w:val="24"/>
        </w:rPr>
      </w:pPr>
      <w:r w:rsidRPr="001372FC">
        <w:rPr>
          <w:b/>
          <w:sz w:val="24"/>
        </w:rPr>
        <w:t>Why do we see variations in economic inactivity across the country?</w:t>
      </w:r>
    </w:p>
    <w:p w:rsidR="001372FC" w:rsidRPr="001372FC" w:rsidRDefault="001372FC" w:rsidP="001372FC">
      <w:pPr>
        <w:pStyle w:val="ListParagraph"/>
        <w:rPr>
          <w:b/>
          <w:sz w:val="24"/>
        </w:rPr>
      </w:pPr>
    </w:p>
    <w:p w:rsidR="001372FC" w:rsidRDefault="001372FC" w:rsidP="001372FC">
      <w:pPr>
        <w:pStyle w:val="ListParagraph"/>
        <w:numPr>
          <w:ilvl w:val="0"/>
          <w:numId w:val="8"/>
        </w:numPr>
        <w:rPr>
          <w:sz w:val="24"/>
        </w:rPr>
      </w:pPr>
      <w:r>
        <w:rPr>
          <w:sz w:val="24"/>
        </w:rPr>
        <w:t>When looking at the reasons why there are differences in economic inactivity in cities up and down the country, a number of indicators appear to be strongly correlated with economic inactivity.</w:t>
      </w:r>
    </w:p>
    <w:p w:rsidR="001372FC" w:rsidRDefault="001372FC" w:rsidP="001372FC">
      <w:pPr>
        <w:pStyle w:val="ListParagraph"/>
        <w:numPr>
          <w:ilvl w:val="0"/>
          <w:numId w:val="8"/>
        </w:numPr>
        <w:rPr>
          <w:sz w:val="24"/>
        </w:rPr>
      </w:pPr>
      <w:r>
        <w:rPr>
          <w:noProof/>
          <w:lang w:eastAsia="en-GB"/>
        </w:rPr>
        <w:drawing>
          <wp:anchor distT="0" distB="0" distL="114300" distR="114300" simplePos="0" relativeHeight="251669504" behindDoc="0" locked="0" layoutInCell="1" allowOverlap="1" wp14:anchorId="2CD0A144" wp14:editId="5AC77256">
            <wp:simplePos x="0" y="0"/>
            <wp:positionH relativeFrom="column">
              <wp:posOffset>636905</wp:posOffset>
            </wp:positionH>
            <wp:positionV relativeFrom="paragraph">
              <wp:posOffset>970915</wp:posOffset>
            </wp:positionV>
            <wp:extent cx="4572000" cy="2743200"/>
            <wp:effectExtent l="0" t="0" r="0" b="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r>
        <w:rPr>
          <w:sz w:val="24"/>
        </w:rPr>
        <w:t xml:space="preserve">In particular, the share of population with no qualification seems to be strongly positively correlated with the share of economic inactive (correlation coefficient of 0.63). </w:t>
      </w:r>
    </w:p>
    <w:p w:rsidR="001372FC" w:rsidRPr="001372FC" w:rsidRDefault="001372FC" w:rsidP="001372FC">
      <w:pPr>
        <w:pStyle w:val="ListParagraph"/>
        <w:ind w:left="360"/>
        <w:rPr>
          <w:sz w:val="24"/>
        </w:rPr>
      </w:pPr>
    </w:p>
    <w:p w:rsidR="001372FC" w:rsidRDefault="0052220C" w:rsidP="001372FC">
      <w:pPr>
        <w:pStyle w:val="ListParagraph"/>
        <w:numPr>
          <w:ilvl w:val="0"/>
          <w:numId w:val="8"/>
        </w:numPr>
        <w:rPr>
          <w:sz w:val="24"/>
        </w:rPr>
      </w:pPr>
      <w:r>
        <w:rPr>
          <w:noProof/>
          <w:lang w:eastAsia="en-GB"/>
        </w:rPr>
        <w:lastRenderedPageBreak/>
        <w:drawing>
          <wp:anchor distT="0" distB="0" distL="114300" distR="114300" simplePos="0" relativeHeight="251670528" behindDoc="0" locked="0" layoutInCell="1" allowOverlap="1" wp14:anchorId="24A9E920" wp14:editId="25613BB5">
            <wp:simplePos x="0" y="0"/>
            <wp:positionH relativeFrom="column">
              <wp:posOffset>435610</wp:posOffset>
            </wp:positionH>
            <wp:positionV relativeFrom="paragraph">
              <wp:posOffset>850265</wp:posOffset>
            </wp:positionV>
            <wp:extent cx="4572000" cy="2743200"/>
            <wp:effectExtent l="0" t="0" r="0" b="0"/>
            <wp:wrapTopAndBottom/>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r w:rsidR="001372FC">
        <w:rPr>
          <w:sz w:val="24"/>
        </w:rPr>
        <w:t>There is also a negative correlation between productivity and economic inactivity (correlation coefficient of -0.40): the more productive a city is, the lower the economic inactivity rate.</w:t>
      </w:r>
    </w:p>
    <w:p w:rsidR="001372FC" w:rsidRPr="001372FC" w:rsidRDefault="001372FC" w:rsidP="001372FC">
      <w:pPr>
        <w:pStyle w:val="ListParagraph"/>
        <w:rPr>
          <w:sz w:val="24"/>
        </w:rPr>
      </w:pPr>
    </w:p>
    <w:p w:rsidR="001372FC" w:rsidRDefault="001372FC" w:rsidP="001372FC">
      <w:pPr>
        <w:pStyle w:val="ListParagraph"/>
        <w:ind w:left="360"/>
        <w:rPr>
          <w:sz w:val="24"/>
        </w:rPr>
      </w:pPr>
    </w:p>
    <w:p w:rsidR="001372FC" w:rsidRDefault="00D97E36" w:rsidP="001372FC">
      <w:pPr>
        <w:pStyle w:val="ListParagraph"/>
        <w:numPr>
          <w:ilvl w:val="0"/>
          <w:numId w:val="8"/>
        </w:numPr>
        <w:rPr>
          <w:sz w:val="24"/>
        </w:rPr>
      </w:pPr>
      <w:r>
        <w:rPr>
          <w:noProof/>
          <w:lang w:eastAsia="en-GB"/>
        </w:rPr>
        <w:drawing>
          <wp:anchor distT="0" distB="0" distL="114300" distR="114300" simplePos="0" relativeHeight="251654140" behindDoc="0" locked="0" layoutInCell="1" allowOverlap="1" wp14:anchorId="44D36D16" wp14:editId="7E0CCBB7">
            <wp:simplePos x="0" y="0"/>
            <wp:positionH relativeFrom="column">
              <wp:posOffset>1550670</wp:posOffset>
            </wp:positionH>
            <wp:positionV relativeFrom="paragraph">
              <wp:posOffset>986155</wp:posOffset>
            </wp:positionV>
            <wp:extent cx="2721610" cy="2732405"/>
            <wp:effectExtent l="0" t="0" r="0" b="0"/>
            <wp:wrapTopAndBottom/>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5" behindDoc="0" locked="0" layoutInCell="1" allowOverlap="1" wp14:anchorId="29EC669A" wp14:editId="6D28DDBC">
            <wp:simplePos x="0" y="0"/>
            <wp:positionH relativeFrom="column">
              <wp:posOffset>-840740</wp:posOffset>
            </wp:positionH>
            <wp:positionV relativeFrom="paragraph">
              <wp:posOffset>1049655</wp:posOffset>
            </wp:positionV>
            <wp:extent cx="2508885" cy="2668270"/>
            <wp:effectExtent l="0" t="0" r="5715" b="0"/>
            <wp:wrapTopAndBottom/>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576" behindDoc="0" locked="0" layoutInCell="1" allowOverlap="1" wp14:anchorId="53CF738D" wp14:editId="5890C49C">
            <wp:simplePos x="0" y="0"/>
            <wp:positionH relativeFrom="column">
              <wp:posOffset>3869690</wp:posOffset>
            </wp:positionH>
            <wp:positionV relativeFrom="paragraph">
              <wp:posOffset>1049655</wp:posOffset>
            </wp:positionV>
            <wp:extent cx="2647315" cy="2668270"/>
            <wp:effectExtent l="0" t="0" r="635" b="0"/>
            <wp:wrapTopAndBottom/>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r w:rsidR="001372FC">
        <w:rPr>
          <w:sz w:val="24"/>
        </w:rPr>
        <w:t>There are weaker negative correlations between the share of KIBS in a city and economic inactivity (correlation coefficient of -0.28)</w:t>
      </w:r>
      <w:r>
        <w:rPr>
          <w:sz w:val="24"/>
        </w:rPr>
        <w:t>, average weekly earnings and economic inactivity (correlation coefficient of -0.28)</w:t>
      </w:r>
      <w:r w:rsidR="001372FC">
        <w:rPr>
          <w:sz w:val="24"/>
        </w:rPr>
        <w:t xml:space="preserve"> and the share of high-skilled population in a city and economic inactivity (correlation coefficient of -0.18)</w:t>
      </w:r>
    </w:p>
    <w:p w:rsidR="0052220C" w:rsidRPr="0052220C" w:rsidRDefault="0052220C" w:rsidP="0052220C">
      <w:pPr>
        <w:rPr>
          <w:sz w:val="24"/>
        </w:rPr>
      </w:pPr>
    </w:p>
    <w:p w:rsidR="001372FC" w:rsidRDefault="001372FC" w:rsidP="001372FC">
      <w:pPr>
        <w:pStyle w:val="ListParagraph"/>
        <w:numPr>
          <w:ilvl w:val="0"/>
          <w:numId w:val="8"/>
        </w:numPr>
        <w:rPr>
          <w:sz w:val="24"/>
        </w:rPr>
      </w:pPr>
      <w:r>
        <w:rPr>
          <w:sz w:val="24"/>
        </w:rPr>
        <w:t>Not surprisingly, there is a positive correlation between welfare spend per capita and economic inactivity (correlation coefficient of 0.47).</w:t>
      </w:r>
    </w:p>
    <w:p w:rsidR="00E25347" w:rsidRPr="00E25347" w:rsidRDefault="00E25347" w:rsidP="00E25347">
      <w:pPr>
        <w:pStyle w:val="ListParagraph"/>
        <w:rPr>
          <w:sz w:val="24"/>
        </w:rPr>
      </w:pPr>
    </w:p>
    <w:p w:rsidR="00E25347" w:rsidRDefault="002C4B83" w:rsidP="002C4B83">
      <w:pPr>
        <w:pStyle w:val="ListParagraph"/>
        <w:numPr>
          <w:ilvl w:val="0"/>
          <w:numId w:val="8"/>
        </w:numPr>
        <w:rPr>
          <w:sz w:val="24"/>
        </w:rPr>
      </w:pPr>
      <w:r>
        <w:rPr>
          <w:noProof/>
          <w:lang w:eastAsia="en-GB"/>
        </w:rPr>
        <w:lastRenderedPageBreak/>
        <w:drawing>
          <wp:anchor distT="0" distB="0" distL="114300" distR="114300" simplePos="0" relativeHeight="251674624" behindDoc="0" locked="0" layoutInCell="1" allowOverlap="1" wp14:anchorId="41D0DC6F" wp14:editId="04A56625">
            <wp:simplePos x="0" y="0"/>
            <wp:positionH relativeFrom="column">
              <wp:posOffset>711835</wp:posOffset>
            </wp:positionH>
            <wp:positionV relativeFrom="paragraph">
              <wp:posOffset>3656965</wp:posOffset>
            </wp:positionV>
            <wp:extent cx="4572000" cy="2743200"/>
            <wp:effectExtent l="0" t="0" r="0" b="0"/>
            <wp:wrapTopAndBottom/>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r w:rsidR="00E25347">
        <w:rPr>
          <w:noProof/>
          <w:lang w:eastAsia="en-GB"/>
        </w:rPr>
        <w:drawing>
          <wp:anchor distT="0" distB="0" distL="114300" distR="114300" simplePos="0" relativeHeight="251673600" behindDoc="0" locked="0" layoutInCell="1" allowOverlap="1" wp14:anchorId="12E629B6" wp14:editId="22DAE005">
            <wp:simplePos x="0" y="0"/>
            <wp:positionH relativeFrom="column">
              <wp:posOffset>574040</wp:posOffset>
            </wp:positionH>
            <wp:positionV relativeFrom="paragraph">
              <wp:posOffset>74295</wp:posOffset>
            </wp:positionV>
            <wp:extent cx="4572000" cy="2743200"/>
            <wp:effectExtent l="0" t="0" r="0" b="0"/>
            <wp:wrapTopAndBottom/>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r>
        <w:rPr>
          <w:sz w:val="24"/>
        </w:rPr>
        <w:t>There is also a positive correlation between unemployment rates and economic inactivity (correlation coefficient 0.40) with places with higher unemployment rates also having higher economic inactivity.</w:t>
      </w:r>
    </w:p>
    <w:p w:rsidR="002C4B83" w:rsidRPr="002C4B83" w:rsidRDefault="002C4B83" w:rsidP="002C4B83">
      <w:pPr>
        <w:pStyle w:val="ListParagraph"/>
        <w:rPr>
          <w:sz w:val="24"/>
        </w:rPr>
      </w:pPr>
    </w:p>
    <w:p w:rsidR="002C4B83" w:rsidRPr="002C4B83" w:rsidRDefault="002C4B83" w:rsidP="002C4B83">
      <w:pPr>
        <w:pStyle w:val="ListParagraph"/>
        <w:ind w:left="360"/>
        <w:rPr>
          <w:sz w:val="24"/>
        </w:rPr>
      </w:pPr>
    </w:p>
    <w:sectPr w:rsidR="002C4B83" w:rsidRPr="002C4B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411BA"/>
    <w:multiLevelType w:val="hybridMultilevel"/>
    <w:tmpl w:val="724C6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D5170C3"/>
    <w:multiLevelType w:val="hybridMultilevel"/>
    <w:tmpl w:val="92DCA676"/>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20552176"/>
    <w:multiLevelType w:val="hybridMultilevel"/>
    <w:tmpl w:val="D04C69CE"/>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2D4F5E41"/>
    <w:multiLevelType w:val="hybridMultilevel"/>
    <w:tmpl w:val="73CAB0B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3D3E36E4"/>
    <w:multiLevelType w:val="hybridMultilevel"/>
    <w:tmpl w:val="0E146A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8082FC1"/>
    <w:multiLevelType w:val="hybridMultilevel"/>
    <w:tmpl w:val="9738C6E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50CB423F"/>
    <w:multiLevelType w:val="hybridMultilevel"/>
    <w:tmpl w:val="68EEED7E"/>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64F60387"/>
    <w:multiLevelType w:val="hybridMultilevel"/>
    <w:tmpl w:val="EB943FE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6C7A44A2"/>
    <w:multiLevelType w:val="hybridMultilevel"/>
    <w:tmpl w:val="8FAADA4C"/>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794E0485"/>
    <w:multiLevelType w:val="hybridMultilevel"/>
    <w:tmpl w:val="2BC6D9E2"/>
    <w:lvl w:ilvl="0" w:tplc="CE52AD9E">
      <w:start w:val="2"/>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7"/>
  </w:num>
  <w:num w:numId="3">
    <w:abstractNumId w:val="6"/>
  </w:num>
  <w:num w:numId="4">
    <w:abstractNumId w:val="1"/>
  </w:num>
  <w:num w:numId="5">
    <w:abstractNumId w:val="3"/>
  </w:num>
  <w:num w:numId="6">
    <w:abstractNumId w:val="2"/>
  </w:num>
  <w:num w:numId="7">
    <w:abstractNumId w:val="5"/>
  </w:num>
  <w:num w:numId="8">
    <w:abstractNumId w:val="8"/>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A9E"/>
    <w:rsid w:val="00023A9E"/>
    <w:rsid w:val="001372FC"/>
    <w:rsid w:val="0015451E"/>
    <w:rsid w:val="00163C5E"/>
    <w:rsid w:val="001B707B"/>
    <w:rsid w:val="00225651"/>
    <w:rsid w:val="002C4B83"/>
    <w:rsid w:val="00315F84"/>
    <w:rsid w:val="0040682D"/>
    <w:rsid w:val="00442E53"/>
    <w:rsid w:val="004E27D5"/>
    <w:rsid w:val="0052220C"/>
    <w:rsid w:val="005910AD"/>
    <w:rsid w:val="006C2EFB"/>
    <w:rsid w:val="006F53D1"/>
    <w:rsid w:val="00827717"/>
    <w:rsid w:val="00832FFD"/>
    <w:rsid w:val="00936EF9"/>
    <w:rsid w:val="00974848"/>
    <w:rsid w:val="009B4DE0"/>
    <w:rsid w:val="00AF3D25"/>
    <w:rsid w:val="00B512EE"/>
    <w:rsid w:val="00BB6AEA"/>
    <w:rsid w:val="00BB7FE1"/>
    <w:rsid w:val="00BF3BA9"/>
    <w:rsid w:val="00C45AF6"/>
    <w:rsid w:val="00D37E27"/>
    <w:rsid w:val="00D537E2"/>
    <w:rsid w:val="00D97E36"/>
    <w:rsid w:val="00DD1929"/>
    <w:rsid w:val="00DD41A4"/>
    <w:rsid w:val="00E25347"/>
    <w:rsid w:val="00EA1579"/>
    <w:rsid w:val="00F145B8"/>
    <w:rsid w:val="00F77412"/>
    <w:rsid w:val="00FF6C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7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37E2"/>
    <w:pPr>
      <w:ind w:left="720"/>
      <w:contextualSpacing/>
    </w:pPr>
  </w:style>
  <w:style w:type="paragraph" w:styleId="BalloonText">
    <w:name w:val="Balloon Text"/>
    <w:basedOn w:val="Normal"/>
    <w:link w:val="BalloonTextChar"/>
    <w:uiPriority w:val="99"/>
    <w:semiHidden/>
    <w:unhideWhenUsed/>
    <w:rsid w:val="00023A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A9E"/>
    <w:rPr>
      <w:rFonts w:ascii="Tahoma" w:hAnsi="Tahoma" w:cs="Tahoma"/>
      <w:sz w:val="16"/>
      <w:szCs w:val="16"/>
    </w:rPr>
  </w:style>
  <w:style w:type="table" w:styleId="TableGrid">
    <w:name w:val="Table Grid"/>
    <w:basedOn w:val="TableNormal"/>
    <w:uiPriority w:val="59"/>
    <w:rsid w:val="00BF3B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7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37E2"/>
    <w:pPr>
      <w:ind w:left="720"/>
      <w:contextualSpacing/>
    </w:pPr>
  </w:style>
  <w:style w:type="paragraph" w:styleId="BalloonText">
    <w:name w:val="Balloon Text"/>
    <w:basedOn w:val="Normal"/>
    <w:link w:val="BalloonTextChar"/>
    <w:uiPriority w:val="99"/>
    <w:semiHidden/>
    <w:unhideWhenUsed/>
    <w:rsid w:val="00023A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A9E"/>
    <w:rPr>
      <w:rFonts w:ascii="Tahoma" w:hAnsi="Tahoma" w:cs="Tahoma"/>
      <w:sz w:val="16"/>
      <w:szCs w:val="16"/>
    </w:rPr>
  </w:style>
  <w:style w:type="table" w:styleId="TableGrid">
    <w:name w:val="Table Grid"/>
    <w:basedOn w:val="TableNormal"/>
    <w:uiPriority w:val="59"/>
    <w:rsid w:val="00BF3B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chart" Target="charts/chart5.xml"/><Relationship Id="rId18" Type="http://schemas.openxmlformats.org/officeDocument/2006/relationships/chart" Target="charts/chart10.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hart" Target="charts/chart13.xml"/><Relationship Id="rId7" Type="http://schemas.openxmlformats.org/officeDocument/2006/relationships/image" Target="media/image1.jpg"/><Relationship Id="rId12" Type="http://schemas.openxmlformats.org/officeDocument/2006/relationships/chart" Target="charts/chart4.xml"/><Relationship Id="rId17" Type="http://schemas.openxmlformats.org/officeDocument/2006/relationships/chart" Target="charts/chart9.xml"/><Relationship Id="rId25" Type="http://schemas.openxmlformats.org/officeDocument/2006/relationships/chart" Target="charts/chart17.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3.xml"/><Relationship Id="rId24"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chart" Target="charts/chart7.xml"/><Relationship Id="rId23" Type="http://schemas.openxmlformats.org/officeDocument/2006/relationships/chart" Target="charts/chart15.xml"/><Relationship Id="rId10" Type="http://schemas.openxmlformats.org/officeDocument/2006/relationships/chart" Target="charts/chart2.xml"/><Relationship Id="rId19" Type="http://schemas.openxmlformats.org/officeDocument/2006/relationships/chart" Target="charts/chart11.xml"/><Relationship Id="rId4" Type="http://schemas.microsoft.com/office/2007/relationships/stylesWithEffects" Target="stylesWithEffect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chart" Target="charts/chart14.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4C-File01\Teams\Centre%20for%20Cities\Research%20programme\Employment%20&amp;%20Skills\OECD%20-%20Economic%20inactivity\Data\19-01-30%20Annual%20Population%20Survey.xlsx" TargetMode="Externa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4.xml.rels><?xml version="1.0" encoding="UTF-8" standalone="yes"?>
<Relationships xmlns="http://schemas.openxmlformats.org/package/2006/relationships"><Relationship Id="rId1" Type="http://schemas.openxmlformats.org/officeDocument/2006/relationships/oleObject" Target="file:///\\C4C-File01\Teams\Centre%20for%20Cities\Research%20programme\Employment%20&amp;%20Skills\OECD%20-%20Economic%20inactivity\Data\19-01-30%20Annual%20Population%20Surve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4C-File01\Teams\Centre%20for%20Cities\Research%20programme\Employment%20&amp;%20Skills\OECD%20-%20Economic%20inactivity\Data\19-01-30%20Annual%20Population%20Survey.xlsx" TargetMode="External"/></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7.xml.rels><?xml version="1.0" encoding="UTF-8" standalone="yes"?>
<Relationships xmlns="http://schemas.openxmlformats.org/package/2006/relationships"><Relationship Id="rId1" Type="http://schemas.openxmlformats.org/officeDocument/2006/relationships/oleObject" Target="file:///\\C4C-File01\Teams\Centre%20for%20Cities\Research%20programme\Employment%20&amp;%20Skills\OECD%20-%20Economic%20inactivity\Data\19-01-30%20Annual%20Population%20Survey.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oleObject" Target="file:///\\C4C-File01\Teams\Centre%20for%20Cities\Research%20programme\Employment%20&amp;%20Skills\OECD%20-%20Economic%20inactivity\Data\19-02-12%20Censu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4C-File01\Teams\Centre%20for%20Cities\Research%20programme\Employment%20&amp;%20Skills\OECD%20-%20Economic%20inactivity\Data\19-02-12%20Census.xlsx" TargetMode="External"/></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delete val="1"/>
            </c:dLbl>
            <c:dLbl>
              <c:idx val="1"/>
              <c:delete val="1"/>
            </c:dLbl>
            <c:dLbl>
              <c:idx val="2"/>
              <c:delete val="1"/>
            </c:dLbl>
            <c:dLbl>
              <c:idx val="3"/>
              <c:delete val="1"/>
            </c:dLbl>
            <c:dLbl>
              <c:idx val="4"/>
              <c:delete val="1"/>
            </c:dLbl>
            <c:dLbl>
              <c:idx val="5"/>
              <c:delete val="1"/>
            </c:dLbl>
            <c:dLbl>
              <c:idx val="6"/>
              <c:layout/>
              <c:tx>
                <c:strRef>
                  <c:f>Age!$A$8</c:f>
                  <c:strCache>
                    <c:ptCount val="1"/>
                    <c:pt idx="0">
                      <c:v>Blackburn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7"/>
              <c:delete val="1"/>
            </c:dLbl>
            <c:dLbl>
              <c:idx val="8"/>
              <c:delete val="1"/>
            </c:dLbl>
            <c:dLbl>
              <c:idx val="9"/>
              <c:delete val="1"/>
            </c:dLbl>
            <c:dLbl>
              <c:idx val="10"/>
              <c:layout/>
              <c:tx>
                <c:strRef>
                  <c:f>Age!$A$12</c:f>
                  <c:strCache>
                    <c:ptCount val="1"/>
                    <c:pt idx="0">
                      <c:v>Brighton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1"/>
              <c:layout/>
              <c:tx>
                <c:strRef>
                  <c:f>Age!$A$13</c:f>
                  <c:strCache>
                    <c:ptCount val="1"/>
                    <c:pt idx="0">
                      <c:v>Bristol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2"/>
              <c:delete val="1"/>
            </c:dLbl>
            <c:dLbl>
              <c:idx val="13"/>
              <c:delete val="1"/>
            </c:dLbl>
            <c:dLbl>
              <c:idx val="14"/>
              <c:layout/>
              <c:tx>
                <c:strRef>
                  <c:f>Age!$A$16</c:f>
                  <c:strCache>
                    <c:ptCount val="1"/>
                    <c:pt idx="0">
                      <c:v>Cardiff</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5"/>
              <c:delete val="1"/>
            </c:dLbl>
            <c:dLbl>
              <c:idx val="16"/>
              <c:delete val="1"/>
            </c:dLbl>
            <c:dLbl>
              <c:idx val="17"/>
              <c:layout/>
              <c:tx>
                <c:strRef>
                  <c:f>Age!$A$19</c:f>
                  <c:strCache>
                    <c:ptCount val="1"/>
                    <c:pt idx="0">
                      <c:v>Crawley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8"/>
              <c:delete val="1"/>
            </c:dLbl>
            <c:dLbl>
              <c:idx val="19"/>
              <c:delete val="1"/>
            </c:dLbl>
            <c:dLbl>
              <c:idx val="20"/>
              <c:layout/>
              <c:tx>
                <c:strRef>
                  <c:f>Age!$A$22</c:f>
                  <c:strCache>
                    <c:ptCount val="1"/>
                    <c:pt idx="0">
                      <c:v>Dundee</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1"/>
              <c:layout/>
              <c:tx>
                <c:strRef>
                  <c:f>Age!$A$23</c:f>
                  <c:strCache>
                    <c:ptCount val="1"/>
                    <c:pt idx="0">
                      <c:v>Edinburgh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2"/>
              <c:delete val="1"/>
            </c:dLbl>
            <c:dLbl>
              <c:idx val="23"/>
              <c:delete val="1"/>
            </c:dLbl>
            <c:dLbl>
              <c:idx val="24"/>
              <c:delete val="1"/>
            </c:dLbl>
            <c:dLbl>
              <c:idx val="25"/>
              <c:delete val="1"/>
            </c:dLbl>
            <c:dLbl>
              <c:idx val="26"/>
              <c:layout/>
              <c:tx>
                <c:strRef>
                  <c:f>Age!$A$28</c:f>
                  <c:strCache>
                    <c:ptCount val="1"/>
                    <c:pt idx="0">
                      <c:v>Hull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7"/>
              <c:delete val="1"/>
            </c:dLbl>
            <c:dLbl>
              <c:idx val="28"/>
              <c:delete val="1"/>
            </c:dLbl>
            <c:dLbl>
              <c:idx val="29"/>
              <c:delete val="1"/>
            </c:dLbl>
            <c:dLbl>
              <c:idx val="30"/>
              <c:delete val="1"/>
            </c:dLbl>
            <c:dLbl>
              <c:idx val="31"/>
              <c:layout/>
              <c:tx>
                <c:strRef>
                  <c:f>Age!$A$33</c:f>
                  <c:strCache>
                    <c:ptCount val="1"/>
                    <c:pt idx="0">
                      <c:v>London</c:v>
                    </c:pt>
                  </c:strCache>
                </c:strRef>
              </c:tx>
              <c:spPr/>
              <c:txPr>
                <a:bodyPr/>
                <a:lstStyle/>
                <a:p>
                  <a:pPr>
                    <a:defRPr sz="1000" b="0" i="0" u="none" strike="noStrike">
                      <a:latin typeface="Calibri"/>
                    </a:defRPr>
                  </a:pPr>
                  <a:endParaRPr lang="en-US"/>
                </a:p>
              </c:txPr>
              <c:dLblPos val="r"/>
              <c:showLegendKey val="0"/>
              <c:showVal val="1"/>
              <c:showCatName val="0"/>
              <c:showSerName val="0"/>
              <c:showPercent val="0"/>
              <c:showBubbleSize val="0"/>
            </c:dLbl>
            <c:dLbl>
              <c:idx val="32"/>
              <c:delete val="1"/>
            </c:dLbl>
            <c:dLbl>
              <c:idx val="33"/>
              <c:delete val="1"/>
            </c:dLbl>
            <c:dLbl>
              <c:idx val="34"/>
              <c:delete val="1"/>
            </c:dLbl>
            <c:dLbl>
              <c:idx val="35"/>
              <c:delete val="1"/>
            </c:dLbl>
            <c:dLbl>
              <c:idx val="36"/>
              <c:layout/>
              <c:tx>
                <c:strRef>
                  <c:f>Age!$A$38</c:f>
                  <c:strCache>
                    <c:ptCount val="1"/>
                    <c:pt idx="0">
                      <c:v>Milton Keynes</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7"/>
              <c:delete val="1"/>
            </c:dLbl>
            <c:dLbl>
              <c:idx val="38"/>
              <c:delete val="1"/>
            </c:dLbl>
            <c:dLbl>
              <c:idx val="39"/>
              <c:layout/>
              <c:tx>
                <c:strRef>
                  <c:f>Age!$A$41</c:f>
                  <c:strCache>
                    <c:ptCount val="1"/>
                    <c:pt idx="0">
                      <c:v>Northampton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0"/>
              <c:delete val="1"/>
            </c:dLbl>
            <c:dLbl>
              <c:idx val="41"/>
              <c:delete val="1"/>
            </c:dLbl>
            <c:dLbl>
              <c:idx val="42"/>
              <c:layout/>
              <c:tx>
                <c:strRef>
                  <c:f>Age!$A$44</c:f>
                  <c:strCache>
                    <c:ptCount val="1"/>
                    <c:pt idx="0">
                      <c:v>Oxford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3"/>
              <c:delete val="1"/>
            </c:dLbl>
            <c:dLbl>
              <c:idx val="44"/>
              <c:layout/>
              <c:tx>
                <c:strRef>
                  <c:f>Age!$A$46</c:f>
                  <c:strCache>
                    <c:ptCount val="1"/>
                    <c:pt idx="0">
                      <c:v>Plymouth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5"/>
              <c:delete val="1"/>
            </c:dLbl>
            <c:dLbl>
              <c:idx val="46"/>
              <c:delete val="1"/>
            </c:dLbl>
            <c:dLbl>
              <c:idx val="47"/>
              <c:delete val="1"/>
            </c:dLbl>
            <c:dLbl>
              <c:idx val="48"/>
              <c:delete val="1"/>
            </c:dLbl>
            <c:dLbl>
              <c:idx val="49"/>
              <c:layout/>
              <c:tx>
                <c:strRef>
                  <c:f>Age!$A$51</c:f>
                  <c:strCache>
                    <c:ptCount val="1"/>
                    <c:pt idx="0">
                      <c:v>Slough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0"/>
              <c:delete val="1"/>
            </c:dLbl>
            <c:dLbl>
              <c:idx val="51"/>
              <c:delete val="1"/>
            </c:dLbl>
            <c:dLbl>
              <c:idx val="52"/>
              <c:delete val="1"/>
            </c:dLbl>
            <c:dLbl>
              <c:idx val="53"/>
              <c:layout/>
              <c:tx>
                <c:strRef>
                  <c:f>Age!$A$55</c:f>
                  <c:strCache>
                    <c:ptCount val="1"/>
                    <c:pt idx="0">
                      <c:v>Sunderland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4"/>
              <c:delete val="1"/>
            </c:dLbl>
            <c:dLbl>
              <c:idx val="55"/>
              <c:delete val="1"/>
            </c:dLbl>
            <c:dLbl>
              <c:idx val="56"/>
              <c:delete val="1"/>
            </c:dLbl>
            <c:dLbl>
              <c:idx val="57"/>
              <c:delete val="1"/>
            </c:dLbl>
            <c:dLbl>
              <c:idx val="58"/>
              <c:delete val="1"/>
            </c:dLbl>
            <c:dLbl>
              <c:idx val="59"/>
              <c:delete val="1"/>
            </c:dLbl>
            <c:dLbl>
              <c:idx val="60"/>
              <c:layout/>
              <c:tx>
                <c:strRef>
                  <c:f>Age!$A$62</c:f>
                  <c:strCache>
                    <c:ptCount val="1"/>
                    <c:pt idx="0">
                      <c:v>Worthing</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61"/>
              <c:delete val="1"/>
            </c:dLbl>
            <c:showLegendKey val="0"/>
            <c:showVal val="1"/>
            <c:showCatName val="0"/>
            <c:showSerName val="0"/>
            <c:showPercent val="0"/>
            <c:showBubbleSize val="0"/>
            <c:showLeaderLines val="0"/>
          </c:dLbls>
          <c:xVal>
            <c:numRef>
              <c:f>Age!$B$2:$B$63</c:f>
              <c:numCache>
                <c:formatCode>#,##0</c:formatCode>
                <c:ptCount val="62"/>
                <c:pt idx="0">
                  <c:v>62211.43</c:v>
                </c:pt>
                <c:pt idx="1">
                  <c:v>61273.58</c:v>
                </c:pt>
                <c:pt idx="2">
                  <c:v>45610.06</c:v>
                </c:pt>
                <c:pt idx="3">
                  <c:v>57565.71</c:v>
                </c:pt>
                <c:pt idx="4">
                  <c:v>47481.13</c:v>
                </c:pt>
                <c:pt idx="5">
                  <c:v>51532.83</c:v>
                </c:pt>
                <c:pt idx="6">
                  <c:v>44911.76</c:v>
                </c:pt>
                <c:pt idx="7">
                  <c:v>49076.92</c:v>
                </c:pt>
                <c:pt idx="8">
                  <c:v>51535.71</c:v>
                </c:pt>
                <c:pt idx="9">
                  <c:v>48694.17</c:v>
                </c:pt>
                <c:pt idx="10">
                  <c:v>57944.27</c:v>
                </c:pt>
                <c:pt idx="11">
                  <c:v>59755.29</c:v>
                </c:pt>
                <c:pt idx="12">
                  <c:v>48707.48</c:v>
                </c:pt>
                <c:pt idx="13">
                  <c:v>55876.78</c:v>
                </c:pt>
                <c:pt idx="14">
                  <c:v>51085.06</c:v>
                </c:pt>
                <c:pt idx="15">
                  <c:v>57333.33</c:v>
                </c:pt>
                <c:pt idx="16">
                  <c:v>55504.639999999999</c:v>
                </c:pt>
                <c:pt idx="17">
                  <c:v>63979.06</c:v>
                </c:pt>
                <c:pt idx="18">
                  <c:v>52219.7</c:v>
                </c:pt>
                <c:pt idx="19">
                  <c:v>43650.79</c:v>
                </c:pt>
                <c:pt idx="20">
                  <c:v>53519.48</c:v>
                </c:pt>
                <c:pt idx="21">
                  <c:v>68162.16</c:v>
                </c:pt>
                <c:pt idx="22">
                  <c:v>54288.77</c:v>
                </c:pt>
                <c:pt idx="23">
                  <c:v>47247.519999999997</c:v>
                </c:pt>
                <c:pt idx="24">
                  <c:v>56356.59</c:v>
                </c:pt>
                <c:pt idx="25">
                  <c:v>47663.55</c:v>
                </c:pt>
                <c:pt idx="26">
                  <c:v>41419.61</c:v>
                </c:pt>
                <c:pt idx="27">
                  <c:v>56301.37</c:v>
                </c:pt>
                <c:pt idx="28">
                  <c:v>51272.33</c:v>
                </c:pt>
                <c:pt idx="29">
                  <c:v>50052.21</c:v>
                </c:pt>
                <c:pt idx="30">
                  <c:v>50025.64</c:v>
                </c:pt>
                <c:pt idx="31">
                  <c:v>80537.850000000006</c:v>
                </c:pt>
                <c:pt idx="32">
                  <c:v>57875.65</c:v>
                </c:pt>
                <c:pt idx="33">
                  <c:v>50436.99</c:v>
                </c:pt>
                <c:pt idx="34">
                  <c:v>45269.84</c:v>
                </c:pt>
                <c:pt idx="35">
                  <c:v>48005.31</c:v>
                </c:pt>
                <c:pt idx="36">
                  <c:v>72980.72</c:v>
                </c:pt>
                <c:pt idx="37">
                  <c:v>47922.14</c:v>
                </c:pt>
                <c:pt idx="38">
                  <c:v>45912.28</c:v>
                </c:pt>
                <c:pt idx="39">
                  <c:v>52794.22</c:v>
                </c:pt>
                <c:pt idx="40">
                  <c:v>46696.55</c:v>
                </c:pt>
                <c:pt idx="41">
                  <c:v>43932.55</c:v>
                </c:pt>
                <c:pt idx="42">
                  <c:v>56448.13</c:v>
                </c:pt>
                <c:pt idx="43">
                  <c:v>47129.71</c:v>
                </c:pt>
                <c:pt idx="44">
                  <c:v>47121.08</c:v>
                </c:pt>
                <c:pt idx="45">
                  <c:v>55558.559999999998</c:v>
                </c:pt>
                <c:pt idx="46">
                  <c:v>52423.91</c:v>
                </c:pt>
                <c:pt idx="47">
                  <c:v>64152.23</c:v>
                </c:pt>
                <c:pt idx="48">
                  <c:v>45888.44</c:v>
                </c:pt>
                <c:pt idx="49">
                  <c:v>82036.14</c:v>
                </c:pt>
                <c:pt idx="50">
                  <c:v>61718.23</c:v>
                </c:pt>
                <c:pt idx="51">
                  <c:v>46801.8</c:v>
                </c:pt>
                <c:pt idx="52">
                  <c:v>43485.03</c:v>
                </c:pt>
                <c:pt idx="53">
                  <c:v>53114.75</c:v>
                </c:pt>
                <c:pt idx="54">
                  <c:v>44327.040000000001</c:v>
                </c:pt>
                <c:pt idx="55">
                  <c:v>62677.97</c:v>
                </c:pt>
                <c:pt idx="56">
                  <c:v>47080.46</c:v>
                </c:pt>
                <c:pt idx="57">
                  <c:v>47571.43</c:v>
                </c:pt>
                <c:pt idx="58">
                  <c:v>49985.4</c:v>
                </c:pt>
                <c:pt idx="59">
                  <c:v>43853.21</c:v>
                </c:pt>
                <c:pt idx="60">
                  <c:v>66183.67</c:v>
                </c:pt>
                <c:pt idx="61">
                  <c:v>48036.53</c:v>
                </c:pt>
              </c:numCache>
            </c:numRef>
          </c:xVal>
          <c:yVal>
            <c:numRef>
              <c:f>Age!$G$2:$G$63</c:f>
              <c:numCache>
                <c:formatCode>0.0</c:formatCode>
                <c:ptCount val="62"/>
                <c:pt idx="0">
                  <c:v>24.5</c:v>
                </c:pt>
                <c:pt idx="1">
                  <c:v>32.049999999999997</c:v>
                </c:pt>
                <c:pt idx="2">
                  <c:v>36.099999999999994</c:v>
                </c:pt>
                <c:pt idx="3">
                  <c:v>24.700000000000003</c:v>
                </c:pt>
                <c:pt idx="4">
                  <c:v>34.449999999999996</c:v>
                </c:pt>
                <c:pt idx="5">
                  <c:v>29.725000000000001</c:v>
                </c:pt>
                <c:pt idx="6">
                  <c:v>36.174999999999997</c:v>
                </c:pt>
                <c:pt idx="7">
                  <c:v>26.425000000000004</c:v>
                </c:pt>
                <c:pt idx="8">
                  <c:v>24.625</c:v>
                </c:pt>
                <c:pt idx="9">
                  <c:v>25.675000000000001</c:v>
                </c:pt>
                <c:pt idx="10">
                  <c:v>29.15</c:v>
                </c:pt>
                <c:pt idx="11">
                  <c:v>22.774999999999999</c:v>
                </c:pt>
                <c:pt idx="12">
                  <c:v>24.875</c:v>
                </c:pt>
                <c:pt idx="13">
                  <c:v>21.15</c:v>
                </c:pt>
                <c:pt idx="14">
                  <c:v>29.450000000000003</c:v>
                </c:pt>
                <c:pt idx="15">
                  <c:v>24.8</c:v>
                </c:pt>
                <c:pt idx="16">
                  <c:v>26.775000000000002</c:v>
                </c:pt>
                <c:pt idx="17">
                  <c:v>15.175000000000001</c:v>
                </c:pt>
                <c:pt idx="18">
                  <c:v>27.099999999999998</c:v>
                </c:pt>
                <c:pt idx="19">
                  <c:v>26.625</c:v>
                </c:pt>
                <c:pt idx="20">
                  <c:v>38.849999999999994</c:v>
                </c:pt>
                <c:pt idx="21">
                  <c:v>32.450000000000003</c:v>
                </c:pt>
                <c:pt idx="22">
                  <c:v>23.6</c:v>
                </c:pt>
                <c:pt idx="23">
                  <c:v>29.150000000000002</c:v>
                </c:pt>
                <c:pt idx="24">
                  <c:v>20.925000000000001</c:v>
                </c:pt>
                <c:pt idx="25">
                  <c:v>30.05</c:v>
                </c:pt>
                <c:pt idx="26">
                  <c:v>29.625</c:v>
                </c:pt>
                <c:pt idx="27">
                  <c:v>26.25</c:v>
                </c:pt>
                <c:pt idx="28">
                  <c:v>25.75</c:v>
                </c:pt>
                <c:pt idx="29">
                  <c:v>26.625</c:v>
                </c:pt>
                <c:pt idx="30">
                  <c:v>35.674999999999997</c:v>
                </c:pt>
                <c:pt idx="31">
                  <c:v>25.75</c:v>
                </c:pt>
                <c:pt idx="32">
                  <c:v>28.525000000000002</c:v>
                </c:pt>
                <c:pt idx="33">
                  <c:v>31.3</c:v>
                </c:pt>
                <c:pt idx="34">
                  <c:v>34.125</c:v>
                </c:pt>
                <c:pt idx="35">
                  <c:v>32.85</c:v>
                </c:pt>
                <c:pt idx="36">
                  <c:v>22.824999999999999</c:v>
                </c:pt>
                <c:pt idx="37">
                  <c:v>29.549999999999997</c:v>
                </c:pt>
                <c:pt idx="38">
                  <c:v>32.150000000000006</c:v>
                </c:pt>
                <c:pt idx="39">
                  <c:v>17.850000000000001</c:v>
                </c:pt>
                <c:pt idx="40">
                  <c:v>26.275000000000002</c:v>
                </c:pt>
                <c:pt idx="41">
                  <c:v>30</c:v>
                </c:pt>
                <c:pt idx="42">
                  <c:v>15.450000000000001</c:v>
                </c:pt>
                <c:pt idx="43">
                  <c:v>22.974999999999998</c:v>
                </c:pt>
                <c:pt idx="44">
                  <c:v>22.924999999999997</c:v>
                </c:pt>
                <c:pt idx="45">
                  <c:v>29.2</c:v>
                </c:pt>
                <c:pt idx="46">
                  <c:v>26</c:v>
                </c:pt>
                <c:pt idx="47">
                  <c:v>23.85</c:v>
                </c:pt>
                <c:pt idx="48">
                  <c:v>30.099999999999998</c:v>
                </c:pt>
                <c:pt idx="49">
                  <c:v>25.85</c:v>
                </c:pt>
                <c:pt idx="50">
                  <c:v>21.8</c:v>
                </c:pt>
                <c:pt idx="51">
                  <c:v>26.200000000000003</c:v>
                </c:pt>
                <c:pt idx="52">
                  <c:v>29.824999999999999</c:v>
                </c:pt>
                <c:pt idx="53">
                  <c:v>36.25</c:v>
                </c:pt>
                <c:pt idx="54">
                  <c:v>30.524999999999999</c:v>
                </c:pt>
                <c:pt idx="55">
                  <c:v>20.6</c:v>
                </c:pt>
                <c:pt idx="56">
                  <c:v>26.9</c:v>
                </c:pt>
                <c:pt idx="57">
                  <c:v>31.5</c:v>
                </c:pt>
                <c:pt idx="58">
                  <c:v>30.324999999999999</c:v>
                </c:pt>
                <c:pt idx="59">
                  <c:v>27.774999999999999</c:v>
                </c:pt>
                <c:pt idx="60">
                  <c:v>27.6</c:v>
                </c:pt>
                <c:pt idx="61">
                  <c:v>26.8</c:v>
                </c:pt>
              </c:numCache>
            </c:numRef>
          </c:yVal>
          <c:smooth val="0"/>
        </c:ser>
        <c:dLbls>
          <c:showLegendKey val="0"/>
          <c:showVal val="0"/>
          <c:showCatName val="0"/>
          <c:showSerName val="0"/>
          <c:showPercent val="0"/>
          <c:showBubbleSize val="0"/>
        </c:dLbls>
        <c:axId val="132124032"/>
        <c:axId val="132123456"/>
      </c:scatterChart>
      <c:valAx>
        <c:axId val="132124032"/>
        <c:scaling>
          <c:orientation val="minMax"/>
          <c:min val="35000"/>
        </c:scaling>
        <c:delete val="0"/>
        <c:axPos val="b"/>
        <c:title>
          <c:tx>
            <c:rich>
              <a:bodyPr/>
              <a:lstStyle/>
              <a:p>
                <a:pPr>
                  <a:defRPr/>
                </a:pPr>
                <a:r>
                  <a:rPr lang="en-GB"/>
                  <a:t>GVA</a:t>
                </a:r>
                <a:r>
                  <a:rPr lang="en-GB" baseline="0"/>
                  <a:t> per worker, 2017 (£)</a:t>
                </a:r>
                <a:endParaRPr lang="en-GB"/>
              </a:p>
            </c:rich>
          </c:tx>
          <c:layout/>
          <c:overlay val="0"/>
        </c:title>
        <c:numFmt formatCode="#,##0" sourceLinked="1"/>
        <c:majorTickMark val="out"/>
        <c:minorTickMark val="none"/>
        <c:tickLblPos val="nextTo"/>
        <c:crossAx val="132123456"/>
        <c:crosses val="autoZero"/>
        <c:crossBetween val="midCat"/>
      </c:valAx>
      <c:valAx>
        <c:axId val="132123456"/>
        <c:scaling>
          <c:orientation val="minMax"/>
        </c:scaling>
        <c:delete val="0"/>
        <c:axPos val="l"/>
        <c:title>
          <c:tx>
            <c:rich>
              <a:bodyPr rot="-5400000" vert="horz"/>
              <a:lstStyle/>
              <a:p>
                <a:pPr>
                  <a:defRPr/>
                </a:pPr>
                <a:r>
                  <a:rPr lang="en-GB"/>
                  <a:t>Share of 50-64 year olds that are economically inactive, 2017 (%)</a:t>
                </a:r>
              </a:p>
            </c:rich>
          </c:tx>
          <c:layout/>
          <c:overlay val="0"/>
        </c:title>
        <c:numFmt formatCode="0.0" sourceLinked="1"/>
        <c:majorTickMark val="out"/>
        <c:minorTickMark val="none"/>
        <c:tickLblPos val="nextTo"/>
        <c:crossAx val="132124032"/>
        <c:crosses val="autoZero"/>
        <c:crossBetween val="midCat"/>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layout/>
              <c:tx>
                <c:strRef>
                  <c:f>'Want job'!$A$2</c:f>
                  <c:strCache>
                    <c:ptCount val="1"/>
                    <c:pt idx="0">
                      <c:v>Aberdeen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
              <c:layout/>
              <c:tx>
                <c:strRef>
                  <c:f>'Want job'!$A$3</c:f>
                  <c:strCache>
                    <c:ptCount val="1"/>
                    <c:pt idx="0">
                      <c:v>Aldershot</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
              <c:layout/>
              <c:tx>
                <c:strRef>
                  <c:f>'Want job'!$A$4</c:f>
                  <c:strCache>
                    <c:ptCount val="1"/>
                    <c:pt idx="0">
                      <c:v>Barnsley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
              <c:delete val="1"/>
            </c:dLbl>
            <c:dLbl>
              <c:idx val="4"/>
              <c:layout/>
              <c:tx>
                <c:strRef>
                  <c:f>'Want job'!$A$6</c:f>
                  <c:strCache>
                    <c:ptCount val="1"/>
                    <c:pt idx="0">
                      <c:v>Birkenhead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
              <c:layout/>
              <c:tx>
                <c:strRef>
                  <c:f>'Want job'!$A$7</c:f>
                  <c:strCache>
                    <c:ptCount val="1"/>
                    <c:pt idx="0">
                      <c:v>Birmingham</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6"/>
              <c:delete val="1"/>
            </c:dLbl>
            <c:dLbl>
              <c:idx val="7"/>
              <c:layout/>
              <c:tx>
                <c:strRef>
                  <c:f>'Want job'!$A$9</c:f>
                  <c:strCache>
                    <c:ptCount val="1"/>
                    <c:pt idx="0">
                      <c:v>Blackpool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8"/>
              <c:delete val="1"/>
            </c:dLbl>
            <c:dLbl>
              <c:idx val="9"/>
              <c:layout/>
              <c:tx>
                <c:strRef>
                  <c:f>'Want job'!$A$11</c:f>
                  <c:strCache>
                    <c:ptCount val="1"/>
                    <c:pt idx="0">
                      <c:v>Bradford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0"/>
              <c:layout/>
              <c:tx>
                <c:strRef>
                  <c:f>'Want job'!$A$12</c:f>
                  <c:strCache>
                    <c:ptCount val="1"/>
                    <c:pt idx="0">
                      <c:v>Brighton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1"/>
              <c:layout/>
              <c:tx>
                <c:strRef>
                  <c:f>'Want job'!$A$13</c:f>
                  <c:strCache>
                    <c:ptCount val="1"/>
                    <c:pt idx="0">
                      <c:v>Bristol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2"/>
              <c:delete val="1"/>
            </c:dLbl>
            <c:dLbl>
              <c:idx val="13"/>
              <c:layout/>
              <c:tx>
                <c:strRef>
                  <c:f>'Want job'!$A$15</c:f>
                  <c:strCache>
                    <c:ptCount val="1"/>
                    <c:pt idx="0">
                      <c:v>Cambridge</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4"/>
              <c:delete val="1"/>
            </c:dLbl>
            <c:dLbl>
              <c:idx val="15"/>
              <c:layout/>
              <c:tx>
                <c:strRef>
                  <c:f>'Want job'!$A$17</c:f>
                  <c:strCache>
                    <c:ptCount val="1"/>
                    <c:pt idx="0">
                      <c:v>Chatham</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6"/>
              <c:delete val="1"/>
            </c:dLbl>
            <c:dLbl>
              <c:idx val="17"/>
              <c:delete val="1"/>
            </c:dLbl>
            <c:dLbl>
              <c:idx val="18"/>
              <c:delete val="1"/>
            </c:dLbl>
            <c:dLbl>
              <c:idx val="19"/>
              <c:layout/>
              <c:tx>
                <c:strRef>
                  <c:f>'Want job'!$A$21</c:f>
                  <c:strCache>
                    <c:ptCount val="1"/>
                    <c:pt idx="0">
                      <c:v>Doncaster</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0"/>
              <c:delete val="1"/>
            </c:dLbl>
            <c:dLbl>
              <c:idx val="21"/>
              <c:delete val="1"/>
            </c:dLbl>
            <c:dLbl>
              <c:idx val="22"/>
              <c:delete val="1"/>
            </c:dLbl>
            <c:dLbl>
              <c:idx val="23"/>
              <c:delete val="1"/>
            </c:dLbl>
            <c:dLbl>
              <c:idx val="24"/>
              <c:delete val="1"/>
            </c:dLbl>
            <c:dLbl>
              <c:idx val="25"/>
              <c:delete val="1"/>
            </c:dLbl>
            <c:dLbl>
              <c:idx val="26"/>
              <c:layout/>
              <c:tx>
                <c:strRef>
                  <c:f>'Want job'!$A$28</c:f>
                  <c:strCache>
                    <c:ptCount val="1"/>
                    <c:pt idx="0">
                      <c:v>Hull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7"/>
              <c:delete val="1"/>
            </c:dLbl>
            <c:dLbl>
              <c:idx val="28"/>
              <c:layout/>
              <c:tx>
                <c:strRef>
                  <c:f>'Want job'!$A$30</c:f>
                  <c:strCache>
                    <c:ptCount val="1"/>
                    <c:pt idx="0">
                      <c:v>Leeds</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9"/>
              <c:delete val="1"/>
            </c:dLbl>
            <c:dLbl>
              <c:idx val="30"/>
              <c:delete val="1"/>
            </c:dLbl>
            <c:dLbl>
              <c:idx val="31"/>
              <c:layout/>
              <c:tx>
                <c:strRef>
                  <c:f>'Want job'!$A$33</c:f>
                  <c:strCache>
                    <c:ptCount val="1"/>
                    <c:pt idx="0">
                      <c:v>London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2"/>
              <c:delete val="1"/>
            </c:dLbl>
            <c:dLbl>
              <c:idx val="33"/>
              <c:delete val="1"/>
            </c:dLbl>
            <c:dLbl>
              <c:idx val="34"/>
              <c:delete val="1"/>
            </c:dLbl>
            <c:dLbl>
              <c:idx val="35"/>
              <c:layout/>
              <c:tx>
                <c:strRef>
                  <c:f>'Want job'!$A$37</c:f>
                  <c:strCache>
                    <c:ptCount val="1"/>
                    <c:pt idx="0">
                      <c:v>Middlesbrough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6"/>
              <c:delete val="1"/>
            </c:dLbl>
            <c:dLbl>
              <c:idx val="37"/>
              <c:delete val="1"/>
            </c:dLbl>
            <c:dLbl>
              <c:idx val="38"/>
              <c:delete val="1"/>
            </c:dLbl>
            <c:dLbl>
              <c:idx val="39"/>
              <c:delete val="1"/>
            </c:dLbl>
            <c:dLbl>
              <c:idx val="40"/>
              <c:delete val="1"/>
            </c:dLbl>
            <c:dLbl>
              <c:idx val="41"/>
              <c:delete val="1"/>
            </c:dLbl>
            <c:dLbl>
              <c:idx val="42"/>
              <c:delete val="1"/>
            </c:dLbl>
            <c:dLbl>
              <c:idx val="43"/>
              <c:delete val="1"/>
            </c:dLbl>
            <c:dLbl>
              <c:idx val="44"/>
              <c:delete val="1"/>
            </c:dLbl>
            <c:dLbl>
              <c:idx val="45"/>
              <c:delete val="1"/>
            </c:dLbl>
            <c:dLbl>
              <c:idx val="46"/>
              <c:delete val="1"/>
            </c:dLbl>
            <c:dLbl>
              <c:idx val="47"/>
              <c:layout/>
              <c:tx>
                <c:strRef>
                  <c:f>'Want job'!$A$49</c:f>
                  <c:strCache>
                    <c:ptCount val="1"/>
                    <c:pt idx="0">
                      <c:v>Reading</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8"/>
              <c:delete val="1"/>
            </c:dLbl>
            <c:dLbl>
              <c:idx val="49"/>
              <c:delete val="1"/>
            </c:dLbl>
            <c:dLbl>
              <c:idx val="50"/>
              <c:delete val="1"/>
            </c:dLbl>
            <c:dLbl>
              <c:idx val="51"/>
              <c:delete val="1"/>
            </c:dLbl>
            <c:dLbl>
              <c:idx val="52"/>
              <c:delete val="1"/>
            </c:dLbl>
            <c:dLbl>
              <c:idx val="53"/>
              <c:delete val="1"/>
            </c:dLbl>
            <c:dLbl>
              <c:idx val="54"/>
              <c:delete val="1"/>
            </c:dLbl>
            <c:dLbl>
              <c:idx val="55"/>
              <c:delete val="1"/>
            </c:dLbl>
            <c:dLbl>
              <c:idx val="56"/>
              <c:delete val="1"/>
            </c:dLbl>
            <c:dLbl>
              <c:idx val="57"/>
              <c:delete val="1"/>
            </c:dLbl>
            <c:dLbl>
              <c:idx val="58"/>
              <c:delete val="1"/>
            </c:dLbl>
            <c:dLbl>
              <c:idx val="59"/>
              <c:delete val="1"/>
            </c:dLbl>
            <c:dLbl>
              <c:idx val="60"/>
              <c:delete val="1"/>
            </c:dLbl>
            <c:dLbl>
              <c:idx val="61"/>
              <c:delete val="1"/>
            </c:dLbl>
            <c:showLegendKey val="0"/>
            <c:showVal val="1"/>
            <c:showCatName val="0"/>
            <c:showSerName val="0"/>
            <c:showPercent val="0"/>
            <c:showBubbleSize val="0"/>
            <c:showLeaderLines val="0"/>
          </c:dLbls>
          <c:xVal>
            <c:numRef>
              <c:f>'Want job'!$C$2:$C$63</c:f>
              <c:numCache>
                <c:formatCode>0.0</c:formatCode>
                <c:ptCount val="62"/>
                <c:pt idx="0">
                  <c:v>15.28</c:v>
                </c:pt>
                <c:pt idx="1">
                  <c:v>19.940000000000001</c:v>
                </c:pt>
                <c:pt idx="2">
                  <c:v>6.92</c:v>
                </c:pt>
                <c:pt idx="3">
                  <c:v>17.09</c:v>
                </c:pt>
                <c:pt idx="4">
                  <c:v>8.9</c:v>
                </c:pt>
                <c:pt idx="5">
                  <c:v>12.47</c:v>
                </c:pt>
                <c:pt idx="6">
                  <c:v>7.89</c:v>
                </c:pt>
                <c:pt idx="7">
                  <c:v>10.33</c:v>
                </c:pt>
                <c:pt idx="8">
                  <c:v>15.41</c:v>
                </c:pt>
                <c:pt idx="9">
                  <c:v>10.28</c:v>
                </c:pt>
                <c:pt idx="10">
                  <c:v>14.68</c:v>
                </c:pt>
                <c:pt idx="11">
                  <c:v>18.350000000000001</c:v>
                </c:pt>
                <c:pt idx="12">
                  <c:v>5.98</c:v>
                </c:pt>
                <c:pt idx="13">
                  <c:v>15.21</c:v>
                </c:pt>
                <c:pt idx="14">
                  <c:v>15.87</c:v>
                </c:pt>
                <c:pt idx="15">
                  <c:v>8.65</c:v>
                </c:pt>
                <c:pt idx="16">
                  <c:v>13.27</c:v>
                </c:pt>
                <c:pt idx="17">
                  <c:v>11.99</c:v>
                </c:pt>
                <c:pt idx="18">
                  <c:v>10.46</c:v>
                </c:pt>
                <c:pt idx="19">
                  <c:v>7.29</c:v>
                </c:pt>
                <c:pt idx="20">
                  <c:v>6.44</c:v>
                </c:pt>
                <c:pt idx="21">
                  <c:v>20.75</c:v>
                </c:pt>
                <c:pt idx="22">
                  <c:v>10.67</c:v>
                </c:pt>
                <c:pt idx="23">
                  <c:v>13.04</c:v>
                </c:pt>
                <c:pt idx="24">
                  <c:v>11.88</c:v>
                </c:pt>
                <c:pt idx="25">
                  <c:v>8.42</c:v>
                </c:pt>
                <c:pt idx="26">
                  <c:v>7.84</c:v>
                </c:pt>
                <c:pt idx="27">
                  <c:v>14.49</c:v>
                </c:pt>
                <c:pt idx="28">
                  <c:v>19.95</c:v>
                </c:pt>
                <c:pt idx="29">
                  <c:v>12.04</c:v>
                </c:pt>
                <c:pt idx="30">
                  <c:v>11.13</c:v>
                </c:pt>
                <c:pt idx="31">
                  <c:v>23.09</c:v>
                </c:pt>
                <c:pt idx="32">
                  <c:v>10.42</c:v>
                </c:pt>
                <c:pt idx="33">
                  <c:v>15.11</c:v>
                </c:pt>
                <c:pt idx="34">
                  <c:v>6.56</c:v>
                </c:pt>
                <c:pt idx="35">
                  <c:v>8.33</c:v>
                </c:pt>
                <c:pt idx="36">
                  <c:v>18.7</c:v>
                </c:pt>
                <c:pt idx="37">
                  <c:v>10.75</c:v>
                </c:pt>
                <c:pt idx="38">
                  <c:v>11.05</c:v>
                </c:pt>
                <c:pt idx="39">
                  <c:v>15.03</c:v>
                </c:pt>
                <c:pt idx="40">
                  <c:v>15.53</c:v>
                </c:pt>
                <c:pt idx="41">
                  <c:v>9.82</c:v>
                </c:pt>
                <c:pt idx="42">
                  <c:v>9.58</c:v>
                </c:pt>
                <c:pt idx="43">
                  <c:v>16.559999999999999</c:v>
                </c:pt>
                <c:pt idx="44">
                  <c:v>6.73</c:v>
                </c:pt>
                <c:pt idx="45">
                  <c:v>8.2100000000000009</c:v>
                </c:pt>
                <c:pt idx="46">
                  <c:v>8.48</c:v>
                </c:pt>
                <c:pt idx="47">
                  <c:v>23.85</c:v>
                </c:pt>
                <c:pt idx="48">
                  <c:v>12.42</c:v>
                </c:pt>
                <c:pt idx="49">
                  <c:v>13.82</c:v>
                </c:pt>
                <c:pt idx="50">
                  <c:v>13.57</c:v>
                </c:pt>
                <c:pt idx="51">
                  <c:v>12.9</c:v>
                </c:pt>
                <c:pt idx="52">
                  <c:v>6.79</c:v>
                </c:pt>
                <c:pt idx="53">
                  <c:v>8</c:v>
                </c:pt>
                <c:pt idx="54">
                  <c:v>9.66</c:v>
                </c:pt>
                <c:pt idx="55">
                  <c:v>17.64</c:v>
                </c:pt>
                <c:pt idx="56">
                  <c:v>9.44</c:v>
                </c:pt>
                <c:pt idx="57">
                  <c:v>7.1</c:v>
                </c:pt>
                <c:pt idx="58">
                  <c:v>20.329999999999998</c:v>
                </c:pt>
                <c:pt idx="59">
                  <c:v>6.85</c:v>
                </c:pt>
                <c:pt idx="60">
                  <c:v>8.9700000000000006</c:v>
                </c:pt>
                <c:pt idx="61">
                  <c:v>13.21</c:v>
                </c:pt>
              </c:numCache>
            </c:numRef>
          </c:xVal>
          <c:yVal>
            <c:numRef>
              <c:f>'Want job'!$H$2:$H$63</c:f>
              <c:numCache>
                <c:formatCode>0.0</c:formatCode>
                <c:ptCount val="62"/>
                <c:pt idx="0">
                  <c:v>22.25</c:v>
                </c:pt>
                <c:pt idx="1">
                  <c:v>15.525000000000002</c:v>
                </c:pt>
                <c:pt idx="2">
                  <c:v>35.424999999999997</c:v>
                </c:pt>
                <c:pt idx="3">
                  <c:v>24.05</c:v>
                </c:pt>
                <c:pt idx="4">
                  <c:v>11.100000000000001</c:v>
                </c:pt>
                <c:pt idx="5">
                  <c:v>15.524999999999999</c:v>
                </c:pt>
                <c:pt idx="6">
                  <c:v>20.024999999999999</c:v>
                </c:pt>
                <c:pt idx="7">
                  <c:v>32.65</c:v>
                </c:pt>
                <c:pt idx="8">
                  <c:v>19.2</c:v>
                </c:pt>
                <c:pt idx="9">
                  <c:v>17.3</c:v>
                </c:pt>
                <c:pt idx="10">
                  <c:v>38.125</c:v>
                </c:pt>
                <c:pt idx="11">
                  <c:v>19.825000000000003</c:v>
                </c:pt>
                <c:pt idx="12">
                  <c:v>24.925000000000001</c:v>
                </c:pt>
                <c:pt idx="13">
                  <c:v>27.700000000000003</c:v>
                </c:pt>
                <c:pt idx="14">
                  <c:v>20.099999999999998</c:v>
                </c:pt>
                <c:pt idx="15">
                  <c:v>41.024999999999999</c:v>
                </c:pt>
                <c:pt idx="16">
                  <c:v>23.025000000000002</c:v>
                </c:pt>
                <c:pt idx="17">
                  <c:v>30.366666666666664</c:v>
                </c:pt>
                <c:pt idx="18">
                  <c:v>27.824999999999996</c:v>
                </c:pt>
                <c:pt idx="19">
                  <c:v>26.4</c:v>
                </c:pt>
                <c:pt idx="20">
                  <c:v>34.299999999999997</c:v>
                </c:pt>
                <c:pt idx="21">
                  <c:v>24.75</c:v>
                </c:pt>
                <c:pt idx="22">
                  <c:v>39.425000000000004</c:v>
                </c:pt>
                <c:pt idx="23">
                  <c:v>24.85</c:v>
                </c:pt>
                <c:pt idx="24">
                  <c:v>22.474999999999998</c:v>
                </c:pt>
                <c:pt idx="25">
                  <c:v>16.824999999999999</c:v>
                </c:pt>
                <c:pt idx="26">
                  <c:v>30.024999999999999</c:v>
                </c:pt>
                <c:pt idx="27">
                  <c:v>24.574999999999999</c:v>
                </c:pt>
                <c:pt idx="28">
                  <c:v>23.725000000000001</c:v>
                </c:pt>
                <c:pt idx="29">
                  <c:v>26.299999999999997</c:v>
                </c:pt>
                <c:pt idx="30">
                  <c:v>18.100000000000001</c:v>
                </c:pt>
                <c:pt idx="31">
                  <c:v>24.575000000000003</c:v>
                </c:pt>
                <c:pt idx="32">
                  <c:v>14.8</c:v>
                </c:pt>
                <c:pt idx="33">
                  <c:v>25.475000000000001</c:v>
                </c:pt>
                <c:pt idx="34">
                  <c:v>22.4</c:v>
                </c:pt>
                <c:pt idx="35">
                  <c:v>22.125</c:v>
                </c:pt>
                <c:pt idx="36">
                  <c:v>21.474999999999998</c:v>
                </c:pt>
                <c:pt idx="37">
                  <c:v>22.925000000000001</c:v>
                </c:pt>
                <c:pt idx="38">
                  <c:v>30.1</c:v>
                </c:pt>
                <c:pt idx="39">
                  <c:v>26.174999999999997</c:v>
                </c:pt>
                <c:pt idx="40">
                  <c:v>17.174999999999997</c:v>
                </c:pt>
                <c:pt idx="41">
                  <c:v>16.074999999999999</c:v>
                </c:pt>
                <c:pt idx="42">
                  <c:v>15.533333333333331</c:v>
                </c:pt>
                <c:pt idx="43">
                  <c:v>21.400000000000002</c:v>
                </c:pt>
                <c:pt idx="44">
                  <c:v>36.35</c:v>
                </c:pt>
                <c:pt idx="45">
                  <c:v>22.4</c:v>
                </c:pt>
                <c:pt idx="46">
                  <c:v>25.425000000000001</c:v>
                </c:pt>
                <c:pt idx="47">
                  <c:v>14.824999999999999</c:v>
                </c:pt>
                <c:pt idx="48">
                  <c:v>28.324999999999999</c:v>
                </c:pt>
                <c:pt idx="49">
                  <c:v>23.15</c:v>
                </c:pt>
                <c:pt idx="50">
                  <c:v>26.724999999999998</c:v>
                </c:pt>
                <c:pt idx="51">
                  <c:v>23.1</c:v>
                </c:pt>
                <c:pt idx="52">
                  <c:v>26.324999999999999</c:v>
                </c:pt>
                <c:pt idx="53">
                  <c:v>33.75</c:v>
                </c:pt>
                <c:pt idx="54">
                  <c:v>23.3</c:v>
                </c:pt>
                <c:pt idx="55">
                  <c:v>25.174999999999997</c:v>
                </c:pt>
                <c:pt idx="56">
                  <c:v>28.700000000000003</c:v>
                </c:pt>
                <c:pt idx="57">
                  <c:v>35.075000000000003</c:v>
                </c:pt>
                <c:pt idx="58">
                  <c:v>20.8</c:v>
                </c:pt>
                <c:pt idx="59">
                  <c:v>23.324999999999999</c:v>
                </c:pt>
                <c:pt idx="60">
                  <c:v>23.2</c:v>
                </c:pt>
                <c:pt idx="61">
                  <c:v>15.574999999999999</c:v>
                </c:pt>
              </c:numCache>
            </c:numRef>
          </c:yVal>
          <c:smooth val="0"/>
        </c:ser>
        <c:dLbls>
          <c:showLegendKey val="0"/>
          <c:showVal val="0"/>
          <c:showCatName val="0"/>
          <c:showSerName val="0"/>
          <c:showPercent val="0"/>
          <c:showBubbleSize val="0"/>
        </c:dLbls>
        <c:axId val="149315584"/>
        <c:axId val="149316160"/>
      </c:scatterChart>
      <c:valAx>
        <c:axId val="149315584"/>
        <c:scaling>
          <c:orientation val="minMax"/>
        </c:scaling>
        <c:delete val="0"/>
        <c:axPos val="b"/>
        <c:title>
          <c:tx>
            <c:rich>
              <a:bodyPr/>
              <a:lstStyle/>
              <a:p>
                <a:pPr>
                  <a:defRPr/>
                </a:pPr>
                <a:r>
                  <a:rPr lang="en-GB"/>
                  <a:t>Share of Knowledge Intensive</a:t>
                </a:r>
                <a:r>
                  <a:rPr lang="en-GB" baseline="0"/>
                  <a:t> Business Services, 2017 (%)</a:t>
                </a:r>
                <a:endParaRPr lang="en-GB"/>
              </a:p>
            </c:rich>
          </c:tx>
          <c:layout/>
          <c:overlay val="0"/>
        </c:title>
        <c:numFmt formatCode="0" sourceLinked="0"/>
        <c:majorTickMark val="out"/>
        <c:minorTickMark val="none"/>
        <c:tickLblPos val="nextTo"/>
        <c:crossAx val="149316160"/>
        <c:crosses val="autoZero"/>
        <c:crossBetween val="midCat"/>
      </c:valAx>
      <c:valAx>
        <c:axId val="149316160"/>
        <c:scaling>
          <c:orientation val="minMax"/>
        </c:scaling>
        <c:delete val="0"/>
        <c:axPos val="l"/>
        <c:title>
          <c:tx>
            <c:rich>
              <a:bodyPr rot="-5400000" vert="horz"/>
              <a:lstStyle/>
              <a:p>
                <a:pPr>
                  <a:defRPr/>
                </a:pPr>
                <a:r>
                  <a:rPr lang="en-GB"/>
                  <a:t>Share of economically inactive who do want a job, 2017</a:t>
                </a:r>
                <a:r>
                  <a:rPr lang="en-GB" baseline="0"/>
                  <a:t> (%)</a:t>
                </a:r>
                <a:endParaRPr lang="en-GB"/>
              </a:p>
            </c:rich>
          </c:tx>
          <c:layout/>
          <c:overlay val="0"/>
        </c:title>
        <c:numFmt formatCode="0" sourceLinked="0"/>
        <c:majorTickMark val="out"/>
        <c:minorTickMark val="none"/>
        <c:tickLblPos val="nextTo"/>
        <c:crossAx val="149315584"/>
        <c:crosses val="autoZero"/>
        <c:crossBetween val="midCat"/>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delete val="1"/>
            </c:dLbl>
            <c:dLbl>
              <c:idx val="1"/>
              <c:delete val="1"/>
            </c:dLbl>
            <c:dLbl>
              <c:idx val="2"/>
              <c:layout/>
              <c:tx>
                <c:strRef>
                  <c:f>Overview_avg!$A$4</c:f>
                  <c:strCache>
                    <c:ptCount val="1"/>
                    <c:pt idx="0">
                      <c:v>Barnsley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
              <c:delete val="1"/>
            </c:dLbl>
            <c:dLbl>
              <c:idx val="4"/>
              <c:delete val="1"/>
            </c:dLbl>
            <c:dLbl>
              <c:idx val="5"/>
              <c:delete val="1"/>
            </c:dLbl>
            <c:dLbl>
              <c:idx val="6"/>
              <c:layout/>
              <c:tx>
                <c:strRef>
                  <c:f>Overview_avg!$A$8</c:f>
                  <c:strCache>
                    <c:ptCount val="1"/>
                    <c:pt idx="0">
                      <c:v>Blackburn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7"/>
              <c:delete val="1"/>
            </c:dLbl>
            <c:dLbl>
              <c:idx val="8"/>
              <c:delete val="1"/>
            </c:dLbl>
            <c:dLbl>
              <c:idx val="9"/>
              <c:layout/>
              <c:tx>
                <c:strRef>
                  <c:f>Overview_avg!$A$11</c:f>
                  <c:strCache>
                    <c:ptCount val="1"/>
                    <c:pt idx="0">
                      <c:v>Bradford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0"/>
              <c:delete val="1"/>
            </c:dLbl>
            <c:dLbl>
              <c:idx val="11"/>
              <c:layout/>
              <c:tx>
                <c:strRef>
                  <c:f>Overview_avg!$A$13</c:f>
                  <c:strCache>
                    <c:ptCount val="1"/>
                    <c:pt idx="0">
                      <c:v>Bristol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2"/>
              <c:delete val="1"/>
            </c:dLbl>
            <c:dLbl>
              <c:idx val="13"/>
              <c:layout/>
              <c:tx>
                <c:strRef>
                  <c:f>Overview_avg!$A$15</c:f>
                  <c:strCache>
                    <c:ptCount val="1"/>
                    <c:pt idx="0">
                      <c:v>Cambridge</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4"/>
              <c:delete val="1"/>
            </c:dLbl>
            <c:dLbl>
              <c:idx val="15"/>
              <c:delete val="1"/>
            </c:dLbl>
            <c:dLbl>
              <c:idx val="16"/>
              <c:delete val="1"/>
            </c:dLbl>
            <c:dLbl>
              <c:idx val="17"/>
              <c:layout/>
              <c:tx>
                <c:strRef>
                  <c:f>Overview_avg!$A$19</c:f>
                  <c:strCache>
                    <c:ptCount val="1"/>
                    <c:pt idx="0">
                      <c:v>Crawley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8"/>
              <c:delete val="1"/>
            </c:dLbl>
            <c:dLbl>
              <c:idx val="19"/>
              <c:delete val="1"/>
            </c:dLbl>
            <c:dLbl>
              <c:idx val="20"/>
              <c:delete val="1"/>
            </c:dLbl>
            <c:dLbl>
              <c:idx val="21"/>
              <c:delete val="1"/>
            </c:dLbl>
            <c:dLbl>
              <c:idx val="22"/>
              <c:delete val="1"/>
            </c:dLbl>
            <c:dLbl>
              <c:idx val="23"/>
              <c:delete val="1"/>
            </c:dLbl>
            <c:dLbl>
              <c:idx val="24"/>
              <c:delete val="1"/>
            </c:dLbl>
            <c:dLbl>
              <c:idx val="25"/>
              <c:layout/>
              <c:tx>
                <c:strRef>
                  <c:f>Overview_avg!$A$27</c:f>
                  <c:strCache>
                    <c:ptCount val="1"/>
                    <c:pt idx="0">
                      <c:v>Huddersfield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6"/>
              <c:delete val="1"/>
            </c:dLbl>
            <c:dLbl>
              <c:idx val="27"/>
              <c:delete val="1"/>
            </c:dLbl>
            <c:dLbl>
              <c:idx val="28"/>
              <c:delete val="1"/>
            </c:dLbl>
            <c:dLbl>
              <c:idx val="29"/>
              <c:delete val="1"/>
            </c:dLbl>
            <c:dLbl>
              <c:idx val="30"/>
              <c:delete val="1"/>
            </c:dLbl>
            <c:dLbl>
              <c:idx val="31"/>
              <c:delete val="1"/>
            </c:dLbl>
            <c:dLbl>
              <c:idx val="32"/>
              <c:delete val="1"/>
            </c:dLbl>
            <c:dLbl>
              <c:idx val="33"/>
              <c:delete val="1"/>
            </c:dLbl>
            <c:dLbl>
              <c:idx val="34"/>
              <c:delete val="1"/>
            </c:dLbl>
            <c:dLbl>
              <c:idx val="35"/>
              <c:delete val="1"/>
            </c:dLbl>
            <c:dLbl>
              <c:idx val="36"/>
              <c:delete val="1"/>
            </c:dLbl>
            <c:dLbl>
              <c:idx val="37"/>
              <c:delete val="1"/>
            </c:dLbl>
            <c:dLbl>
              <c:idx val="38"/>
              <c:delete val="1"/>
            </c:dLbl>
            <c:dLbl>
              <c:idx val="39"/>
              <c:delete val="1"/>
            </c:dLbl>
            <c:dLbl>
              <c:idx val="40"/>
              <c:delete val="1"/>
            </c:dLbl>
            <c:dLbl>
              <c:idx val="41"/>
              <c:delete val="1"/>
            </c:dLbl>
            <c:dLbl>
              <c:idx val="42"/>
              <c:layout/>
              <c:tx>
                <c:strRef>
                  <c:f>Overview_avg!$A$44</c:f>
                  <c:strCache>
                    <c:ptCount val="1"/>
                    <c:pt idx="0">
                      <c:v>Oxford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3"/>
              <c:delete val="1"/>
            </c:dLbl>
            <c:dLbl>
              <c:idx val="44"/>
              <c:delete val="1"/>
            </c:dLbl>
            <c:dLbl>
              <c:idx val="45"/>
              <c:delete val="1"/>
            </c:dLbl>
            <c:dLbl>
              <c:idx val="46"/>
              <c:delete val="1"/>
            </c:dLbl>
            <c:dLbl>
              <c:idx val="47"/>
              <c:delete val="1"/>
            </c:dLbl>
            <c:dLbl>
              <c:idx val="48"/>
              <c:delete val="1"/>
            </c:dLbl>
            <c:dLbl>
              <c:idx val="49"/>
              <c:delete val="1"/>
            </c:dLbl>
            <c:dLbl>
              <c:idx val="50"/>
              <c:delete val="1"/>
            </c:dLbl>
            <c:dLbl>
              <c:idx val="51"/>
              <c:delete val="1"/>
            </c:dLbl>
            <c:dLbl>
              <c:idx val="52"/>
              <c:delete val="1"/>
            </c:dLbl>
            <c:dLbl>
              <c:idx val="53"/>
              <c:delete val="1"/>
            </c:dLbl>
            <c:dLbl>
              <c:idx val="54"/>
              <c:delete val="1"/>
            </c:dLbl>
            <c:dLbl>
              <c:idx val="55"/>
              <c:delete val="1"/>
            </c:dLbl>
            <c:dLbl>
              <c:idx val="56"/>
              <c:delete val="1"/>
            </c:dLbl>
            <c:dLbl>
              <c:idx val="57"/>
              <c:delete val="1"/>
            </c:dLbl>
            <c:dLbl>
              <c:idx val="58"/>
              <c:delete val="1"/>
            </c:dLbl>
            <c:dLbl>
              <c:idx val="59"/>
              <c:delete val="1"/>
            </c:dLbl>
            <c:dLbl>
              <c:idx val="60"/>
              <c:delete val="1"/>
            </c:dLbl>
            <c:dLbl>
              <c:idx val="61"/>
              <c:delete val="1"/>
            </c:dLbl>
            <c:showLegendKey val="0"/>
            <c:showVal val="1"/>
            <c:showCatName val="0"/>
            <c:showSerName val="0"/>
            <c:showPercent val="0"/>
            <c:showBubbleSize val="0"/>
            <c:showLeaderLines val="0"/>
          </c:dLbls>
          <c:xVal>
            <c:numRef>
              <c:f>Overview_avg!$E$2:$E$63</c:f>
              <c:numCache>
                <c:formatCode>0.0</c:formatCode>
                <c:ptCount val="62"/>
                <c:pt idx="0">
                  <c:v>6.3</c:v>
                </c:pt>
                <c:pt idx="1">
                  <c:v>5.5</c:v>
                </c:pt>
                <c:pt idx="2">
                  <c:v>8.8000000000000007</c:v>
                </c:pt>
                <c:pt idx="3">
                  <c:v>10.1</c:v>
                </c:pt>
                <c:pt idx="4">
                  <c:v>9.4</c:v>
                </c:pt>
                <c:pt idx="5">
                  <c:v>13.6</c:v>
                </c:pt>
                <c:pt idx="6">
                  <c:v>12.1</c:v>
                </c:pt>
                <c:pt idx="7">
                  <c:v>7.7</c:v>
                </c:pt>
                <c:pt idx="8">
                  <c:v>6</c:v>
                </c:pt>
                <c:pt idx="9">
                  <c:v>13.1</c:v>
                </c:pt>
                <c:pt idx="10">
                  <c:v>2.9</c:v>
                </c:pt>
                <c:pt idx="11">
                  <c:v>4.4000000000000004</c:v>
                </c:pt>
                <c:pt idx="12">
                  <c:v>9.1999999999999993</c:v>
                </c:pt>
                <c:pt idx="13">
                  <c:v>4.3</c:v>
                </c:pt>
                <c:pt idx="14">
                  <c:v>6.6</c:v>
                </c:pt>
                <c:pt idx="15">
                  <c:v>6.3</c:v>
                </c:pt>
                <c:pt idx="16">
                  <c:v>9.6999999999999993</c:v>
                </c:pt>
                <c:pt idx="17">
                  <c:v>6</c:v>
                </c:pt>
                <c:pt idx="18">
                  <c:v>9</c:v>
                </c:pt>
                <c:pt idx="19">
                  <c:v>9.5</c:v>
                </c:pt>
                <c:pt idx="20">
                  <c:v>12.7</c:v>
                </c:pt>
                <c:pt idx="21">
                  <c:v>3.2</c:v>
                </c:pt>
                <c:pt idx="22">
                  <c:v>2.7</c:v>
                </c:pt>
                <c:pt idx="23">
                  <c:v>10.4</c:v>
                </c:pt>
                <c:pt idx="24">
                  <c:v>6.8</c:v>
                </c:pt>
                <c:pt idx="25">
                  <c:v>13.1</c:v>
                </c:pt>
                <c:pt idx="26">
                  <c:v>9.8000000000000007</c:v>
                </c:pt>
                <c:pt idx="27">
                  <c:v>10</c:v>
                </c:pt>
                <c:pt idx="28">
                  <c:v>11.2</c:v>
                </c:pt>
                <c:pt idx="29">
                  <c:v>11.6</c:v>
                </c:pt>
                <c:pt idx="30">
                  <c:v>13</c:v>
                </c:pt>
                <c:pt idx="31">
                  <c:v>6.6</c:v>
                </c:pt>
                <c:pt idx="32">
                  <c:v>12.9</c:v>
                </c:pt>
                <c:pt idx="33">
                  <c:v>9.9</c:v>
                </c:pt>
                <c:pt idx="34">
                  <c:v>10.8</c:v>
                </c:pt>
                <c:pt idx="35">
                  <c:v>12</c:v>
                </c:pt>
                <c:pt idx="36">
                  <c:v>9.1</c:v>
                </c:pt>
                <c:pt idx="37">
                  <c:v>8.4</c:v>
                </c:pt>
                <c:pt idx="38">
                  <c:v>7.6</c:v>
                </c:pt>
                <c:pt idx="39">
                  <c:v>7.4</c:v>
                </c:pt>
                <c:pt idx="40">
                  <c:v>5.8</c:v>
                </c:pt>
                <c:pt idx="41">
                  <c:v>9.5</c:v>
                </c:pt>
                <c:pt idx="42">
                  <c:v>3.2</c:v>
                </c:pt>
                <c:pt idx="43">
                  <c:v>12.6</c:v>
                </c:pt>
                <c:pt idx="44">
                  <c:v>5.3</c:v>
                </c:pt>
                <c:pt idx="45">
                  <c:v>5</c:v>
                </c:pt>
                <c:pt idx="46">
                  <c:v>6.2</c:v>
                </c:pt>
                <c:pt idx="47">
                  <c:v>4.4000000000000004</c:v>
                </c:pt>
                <c:pt idx="48">
                  <c:v>8.6</c:v>
                </c:pt>
                <c:pt idx="49">
                  <c:v>6.2</c:v>
                </c:pt>
                <c:pt idx="50">
                  <c:v>6.9</c:v>
                </c:pt>
                <c:pt idx="51">
                  <c:v>8.1</c:v>
                </c:pt>
                <c:pt idx="52">
                  <c:v>10.8</c:v>
                </c:pt>
                <c:pt idx="53">
                  <c:v>8.6999999999999993</c:v>
                </c:pt>
                <c:pt idx="54">
                  <c:v>10.1</c:v>
                </c:pt>
                <c:pt idx="55">
                  <c:v>5.6</c:v>
                </c:pt>
                <c:pt idx="56">
                  <c:v>8</c:v>
                </c:pt>
                <c:pt idx="57">
                  <c:v>10.4</c:v>
                </c:pt>
                <c:pt idx="58">
                  <c:v>5.8</c:v>
                </c:pt>
                <c:pt idx="59">
                  <c:v>7.6</c:v>
                </c:pt>
                <c:pt idx="60">
                  <c:v>6.3</c:v>
                </c:pt>
                <c:pt idx="61">
                  <c:v>4.4000000000000004</c:v>
                </c:pt>
              </c:numCache>
            </c:numRef>
          </c:xVal>
          <c:yVal>
            <c:numRef>
              <c:f>Overview_avg!$H$2:$H$63</c:f>
              <c:numCache>
                <c:formatCode>0.0</c:formatCode>
                <c:ptCount val="62"/>
                <c:pt idx="0">
                  <c:v>21.925000000000001</c:v>
                </c:pt>
                <c:pt idx="1">
                  <c:v>18.45</c:v>
                </c:pt>
                <c:pt idx="2">
                  <c:v>25.024999999999999</c:v>
                </c:pt>
                <c:pt idx="3">
                  <c:v>24.3</c:v>
                </c:pt>
                <c:pt idx="4">
                  <c:v>25.775000000000002</c:v>
                </c:pt>
                <c:pt idx="5">
                  <c:v>28.25</c:v>
                </c:pt>
                <c:pt idx="6">
                  <c:v>31.2</c:v>
                </c:pt>
                <c:pt idx="7">
                  <c:v>22.1</c:v>
                </c:pt>
                <c:pt idx="8">
                  <c:v>20.925000000000001</c:v>
                </c:pt>
                <c:pt idx="9">
                  <c:v>27.624999999999996</c:v>
                </c:pt>
                <c:pt idx="10">
                  <c:v>20.524999999999999</c:v>
                </c:pt>
                <c:pt idx="11">
                  <c:v>18.324999999999999</c:v>
                </c:pt>
                <c:pt idx="12">
                  <c:v>19.725000000000001</c:v>
                </c:pt>
                <c:pt idx="13">
                  <c:v>24.975000000000001</c:v>
                </c:pt>
                <c:pt idx="14">
                  <c:v>26.25</c:v>
                </c:pt>
                <c:pt idx="15">
                  <c:v>19.875</c:v>
                </c:pt>
                <c:pt idx="16">
                  <c:v>26.475000000000001</c:v>
                </c:pt>
                <c:pt idx="17">
                  <c:v>10.55</c:v>
                </c:pt>
                <c:pt idx="18">
                  <c:v>24.549999999999997</c:v>
                </c:pt>
                <c:pt idx="19">
                  <c:v>22.5</c:v>
                </c:pt>
                <c:pt idx="20">
                  <c:v>32.299999999999997</c:v>
                </c:pt>
                <c:pt idx="21">
                  <c:v>23.274999999999999</c:v>
                </c:pt>
                <c:pt idx="22">
                  <c:v>24.150000000000002</c:v>
                </c:pt>
                <c:pt idx="23">
                  <c:v>26.675000000000001</c:v>
                </c:pt>
                <c:pt idx="24">
                  <c:v>16.774999999999999</c:v>
                </c:pt>
                <c:pt idx="25">
                  <c:v>25.200000000000003</c:v>
                </c:pt>
                <c:pt idx="26">
                  <c:v>24.325000000000003</c:v>
                </c:pt>
                <c:pt idx="27">
                  <c:v>20.9</c:v>
                </c:pt>
                <c:pt idx="28">
                  <c:v>21.35</c:v>
                </c:pt>
                <c:pt idx="29">
                  <c:v>27.074999999999999</c:v>
                </c:pt>
                <c:pt idx="30">
                  <c:v>28.925000000000001</c:v>
                </c:pt>
                <c:pt idx="31">
                  <c:v>21.4</c:v>
                </c:pt>
                <c:pt idx="32">
                  <c:v>25.624999999999996</c:v>
                </c:pt>
                <c:pt idx="33">
                  <c:v>24.85</c:v>
                </c:pt>
                <c:pt idx="34">
                  <c:v>24.450000000000003</c:v>
                </c:pt>
                <c:pt idx="35">
                  <c:v>26.825000000000003</c:v>
                </c:pt>
                <c:pt idx="36">
                  <c:v>20.024999999999999</c:v>
                </c:pt>
                <c:pt idx="37">
                  <c:v>24.549999999999997</c:v>
                </c:pt>
                <c:pt idx="38">
                  <c:v>22.4</c:v>
                </c:pt>
                <c:pt idx="39">
                  <c:v>19.349999999999998</c:v>
                </c:pt>
                <c:pt idx="40">
                  <c:v>18.75</c:v>
                </c:pt>
                <c:pt idx="41">
                  <c:v>26.825000000000003</c:v>
                </c:pt>
                <c:pt idx="42">
                  <c:v>16.55</c:v>
                </c:pt>
                <c:pt idx="43">
                  <c:v>21.475000000000001</c:v>
                </c:pt>
                <c:pt idx="44">
                  <c:v>20.675000000000001</c:v>
                </c:pt>
                <c:pt idx="45">
                  <c:v>21.1</c:v>
                </c:pt>
                <c:pt idx="46">
                  <c:v>19.05</c:v>
                </c:pt>
                <c:pt idx="47">
                  <c:v>19.45</c:v>
                </c:pt>
                <c:pt idx="48">
                  <c:v>25.474999999999998</c:v>
                </c:pt>
                <c:pt idx="49">
                  <c:v>21.574999999999999</c:v>
                </c:pt>
                <c:pt idx="50">
                  <c:v>20.375</c:v>
                </c:pt>
                <c:pt idx="51">
                  <c:v>19.875</c:v>
                </c:pt>
                <c:pt idx="52">
                  <c:v>22.549999999999997</c:v>
                </c:pt>
                <c:pt idx="53">
                  <c:v>24.249999999999996</c:v>
                </c:pt>
                <c:pt idx="54">
                  <c:v>27.700000000000003</c:v>
                </c:pt>
                <c:pt idx="55">
                  <c:v>15.725</c:v>
                </c:pt>
                <c:pt idx="56">
                  <c:v>22.725000000000001</c:v>
                </c:pt>
                <c:pt idx="57">
                  <c:v>21.45</c:v>
                </c:pt>
                <c:pt idx="58">
                  <c:v>20.125</c:v>
                </c:pt>
                <c:pt idx="59">
                  <c:v>21.5</c:v>
                </c:pt>
                <c:pt idx="60">
                  <c:v>15.125</c:v>
                </c:pt>
                <c:pt idx="61">
                  <c:v>21.274999999999999</c:v>
                </c:pt>
              </c:numCache>
            </c:numRef>
          </c:yVal>
          <c:smooth val="0"/>
        </c:ser>
        <c:dLbls>
          <c:showLegendKey val="0"/>
          <c:showVal val="0"/>
          <c:showCatName val="0"/>
          <c:showSerName val="0"/>
          <c:showPercent val="0"/>
          <c:showBubbleSize val="0"/>
        </c:dLbls>
        <c:axId val="149317888"/>
        <c:axId val="149318464"/>
      </c:scatterChart>
      <c:valAx>
        <c:axId val="149317888"/>
        <c:scaling>
          <c:orientation val="minMax"/>
        </c:scaling>
        <c:delete val="0"/>
        <c:axPos val="b"/>
        <c:title>
          <c:tx>
            <c:rich>
              <a:bodyPr/>
              <a:lstStyle/>
              <a:p>
                <a:pPr>
                  <a:defRPr/>
                </a:pPr>
                <a:r>
                  <a:rPr lang="en-GB"/>
                  <a:t>Share of population with no qualifications, 2017 (%)</a:t>
                </a:r>
              </a:p>
            </c:rich>
          </c:tx>
          <c:layout/>
          <c:overlay val="0"/>
        </c:title>
        <c:numFmt formatCode="0.0" sourceLinked="1"/>
        <c:majorTickMark val="out"/>
        <c:minorTickMark val="none"/>
        <c:tickLblPos val="nextTo"/>
        <c:crossAx val="149318464"/>
        <c:crosses val="autoZero"/>
        <c:crossBetween val="midCat"/>
      </c:valAx>
      <c:valAx>
        <c:axId val="149318464"/>
        <c:scaling>
          <c:orientation val="minMax"/>
        </c:scaling>
        <c:delete val="0"/>
        <c:axPos val="l"/>
        <c:title>
          <c:tx>
            <c:rich>
              <a:bodyPr rot="-5400000" vert="horz"/>
              <a:lstStyle/>
              <a:p>
                <a:pPr>
                  <a:defRPr/>
                </a:pPr>
                <a:r>
                  <a:rPr lang="en-GB"/>
                  <a:t>Share of working</a:t>
                </a:r>
                <a:r>
                  <a:rPr lang="en-GB" baseline="0"/>
                  <a:t> age population that is economically inactive, 2017 (%)</a:t>
                </a:r>
                <a:endParaRPr lang="en-GB"/>
              </a:p>
            </c:rich>
          </c:tx>
          <c:layout/>
          <c:overlay val="0"/>
        </c:title>
        <c:numFmt formatCode="0.0" sourceLinked="1"/>
        <c:majorTickMark val="out"/>
        <c:minorTickMark val="none"/>
        <c:tickLblPos val="nextTo"/>
        <c:crossAx val="149317888"/>
        <c:crosses val="autoZero"/>
        <c:crossBetween val="midCat"/>
      </c:valAx>
    </c:plotArea>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delete val="1"/>
            </c:dLbl>
            <c:dLbl>
              <c:idx val="1"/>
              <c:delete val="1"/>
            </c:dLbl>
            <c:dLbl>
              <c:idx val="2"/>
              <c:delete val="1"/>
            </c:dLbl>
            <c:dLbl>
              <c:idx val="3"/>
              <c:delete val="1"/>
            </c:dLbl>
            <c:dLbl>
              <c:idx val="4"/>
              <c:delete val="1"/>
            </c:dLbl>
            <c:dLbl>
              <c:idx val="5"/>
              <c:delete val="1"/>
            </c:dLbl>
            <c:dLbl>
              <c:idx val="6"/>
              <c:layout/>
              <c:tx>
                <c:strRef>
                  <c:f>Overview_avg!$A$8</c:f>
                  <c:strCache>
                    <c:ptCount val="1"/>
                    <c:pt idx="0">
                      <c:v>Blackburn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7"/>
              <c:delete val="1"/>
            </c:dLbl>
            <c:dLbl>
              <c:idx val="8"/>
              <c:delete val="1"/>
            </c:dLbl>
            <c:dLbl>
              <c:idx val="9"/>
              <c:delete val="1"/>
            </c:dLbl>
            <c:dLbl>
              <c:idx val="10"/>
              <c:delete val="1"/>
            </c:dLbl>
            <c:dLbl>
              <c:idx val="11"/>
              <c:delete val="1"/>
            </c:dLbl>
            <c:dLbl>
              <c:idx val="12"/>
              <c:layout/>
              <c:tx>
                <c:strRef>
                  <c:f>Overview_avg!$A$14</c:f>
                  <c:strCache>
                    <c:ptCount val="1"/>
                    <c:pt idx="0">
                      <c:v>Burnley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3"/>
              <c:delete val="1"/>
            </c:dLbl>
            <c:dLbl>
              <c:idx val="14"/>
              <c:delete val="1"/>
            </c:dLbl>
            <c:dLbl>
              <c:idx val="15"/>
              <c:delete val="1"/>
            </c:dLbl>
            <c:dLbl>
              <c:idx val="16"/>
              <c:delete val="1"/>
            </c:dLbl>
            <c:dLbl>
              <c:idx val="17"/>
              <c:layout/>
              <c:tx>
                <c:strRef>
                  <c:f>Overview_avg!$A$19</c:f>
                  <c:strCache>
                    <c:ptCount val="1"/>
                    <c:pt idx="0">
                      <c:v>Crawley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8"/>
              <c:delete val="1"/>
            </c:dLbl>
            <c:dLbl>
              <c:idx val="19"/>
              <c:delete val="1"/>
            </c:dLbl>
            <c:dLbl>
              <c:idx val="20"/>
              <c:delete val="1"/>
            </c:dLbl>
            <c:dLbl>
              <c:idx val="21"/>
              <c:layout/>
              <c:tx>
                <c:strRef>
                  <c:f>Overview_avg!$A$23</c:f>
                  <c:strCache>
                    <c:ptCount val="1"/>
                    <c:pt idx="0">
                      <c:v>Edinburgh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2"/>
              <c:delete val="1"/>
            </c:dLbl>
            <c:dLbl>
              <c:idx val="23"/>
              <c:delete val="1"/>
            </c:dLbl>
            <c:dLbl>
              <c:idx val="24"/>
              <c:delete val="1"/>
            </c:dLbl>
            <c:dLbl>
              <c:idx val="25"/>
              <c:delete val="1"/>
            </c:dLbl>
            <c:dLbl>
              <c:idx val="26"/>
              <c:delete val="1"/>
            </c:dLbl>
            <c:dLbl>
              <c:idx val="27"/>
              <c:delete val="1"/>
            </c:dLbl>
            <c:dLbl>
              <c:idx val="28"/>
              <c:delete val="1"/>
            </c:dLbl>
            <c:dLbl>
              <c:idx val="29"/>
              <c:delete val="1"/>
            </c:dLbl>
            <c:dLbl>
              <c:idx val="30"/>
              <c:layout/>
              <c:tx>
                <c:strRef>
                  <c:f>Overview_avg!$A$32</c:f>
                  <c:strCache>
                    <c:ptCount val="1"/>
                    <c:pt idx="0">
                      <c:v>Liverpool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1"/>
              <c:delete val="1"/>
            </c:dLbl>
            <c:dLbl>
              <c:idx val="32"/>
              <c:delete val="1"/>
            </c:dLbl>
            <c:dLbl>
              <c:idx val="33"/>
              <c:delete val="1"/>
            </c:dLbl>
            <c:dLbl>
              <c:idx val="34"/>
              <c:delete val="1"/>
            </c:dLbl>
            <c:dLbl>
              <c:idx val="35"/>
              <c:delete val="1"/>
            </c:dLbl>
            <c:dLbl>
              <c:idx val="36"/>
              <c:layout/>
              <c:tx>
                <c:strRef>
                  <c:f>Overview_avg!$A$38</c:f>
                  <c:strCache>
                    <c:ptCount val="1"/>
                    <c:pt idx="0">
                      <c:v>Milton Keynes</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7"/>
              <c:delete val="1"/>
            </c:dLbl>
            <c:dLbl>
              <c:idx val="38"/>
              <c:delete val="1"/>
            </c:dLbl>
            <c:dLbl>
              <c:idx val="39"/>
              <c:delete val="1"/>
            </c:dLbl>
            <c:dLbl>
              <c:idx val="40"/>
              <c:delete val="1"/>
            </c:dLbl>
            <c:dLbl>
              <c:idx val="41"/>
              <c:delete val="1"/>
            </c:dLbl>
            <c:dLbl>
              <c:idx val="42"/>
              <c:delete val="1"/>
            </c:dLbl>
            <c:dLbl>
              <c:idx val="43"/>
              <c:delete val="1"/>
            </c:dLbl>
            <c:dLbl>
              <c:idx val="44"/>
              <c:delete val="1"/>
            </c:dLbl>
            <c:dLbl>
              <c:idx val="45"/>
              <c:delete val="1"/>
            </c:dLbl>
            <c:dLbl>
              <c:idx val="46"/>
              <c:delete val="1"/>
            </c:dLbl>
            <c:dLbl>
              <c:idx val="47"/>
              <c:delete val="1"/>
            </c:dLbl>
            <c:dLbl>
              <c:idx val="48"/>
              <c:delete val="1"/>
            </c:dLbl>
            <c:dLbl>
              <c:idx val="49"/>
              <c:layout/>
              <c:tx>
                <c:strRef>
                  <c:f>Overview_avg!$A$51</c:f>
                  <c:strCache>
                    <c:ptCount val="1"/>
                    <c:pt idx="0">
                      <c:v>Slough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0"/>
              <c:delete val="1"/>
            </c:dLbl>
            <c:dLbl>
              <c:idx val="51"/>
              <c:delete val="1"/>
            </c:dLbl>
            <c:dLbl>
              <c:idx val="52"/>
              <c:layout/>
              <c:tx>
                <c:strRef>
                  <c:f>Overview_avg!$A$54</c:f>
                  <c:strCache>
                    <c:ptCount val="1"/>
                    <c:pt idx="0">
                      <c:v>Stoke</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3"/>
              <c:delete val="1"/>
            </c:dLbl>
            <c:dLbl>
              <c:idx val="54"/>
              <c:delete val="1"/>
            </c:dLbl>
            <c:dLbl>
              <c:idx val="55"/>
              <c:delete val="1"/>
            </c:dLbl>
            <c:dLbl>
              <c:idx val="56"/>
              <c:delete val="1"/>
            </c:dLbl>
            <c:dLbl>
              <c:idx val="57"/>
              <c:delete val="1"/>
            </c:dLbl>
            <c:dLbl>
              <c:idx val="58"/>
              <c:delete val="1"/>
            </c:dLbl>
            <c:dLbl>
              <c:idx val="59"/>
              <c:delete val="1"/>
            </c:dLbl>
            <c:dLbl>
              <c:idx val="60"/>
              <c:layout/>
              <c:tx>
                <c:strRef>
                  <c:f>Overview_avg!$A$62</c:f>
                  <c:strCache>
                    <c:ptCount val="1"/>
                    <c:pt idx="0">
                      <c:v>Worthing</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61"/>
              <c:delete val="1"/>
            </c:dLbl>
            <c:showLegendKey val="0"/>
            <c:showVal val="1"/>
            <c:showCatName val="0"/>
            <c:showSerName val="0"/>
            <c:showPercent val="0"/>
            <c:showBubbleSize val="0"/>
            <c:showLeaderLines val="0"/>
          </c:dLbls>
          <c:xVal>
            <c:numRef>
              <c:f>Overview_avg!$B$2:$B$63</c:f>
              <c:numCache>
                <c:formatCode>#,##0</c:formatCode>
                <c:ptCount val="62"/>
                <c:pt idx="0">
                  <c:v>62211.43</c:v>
                </c:pt>
                <c:pt idx="1">
                  <c:v>61273.58</c:v>
                </c:pt>
                <c:pt idx="2">
                  <c:v>45610.06</c:v>
                </c:pt>
                <c:pt idx="3">
                  <c:v>57565.71</c:v>
                </c:pt>
                <c:pt idx="4">
                  <c:v>47481.13</c:v>
                </c:pt>
                <c:pt idx="5">
                  <c:v>51532.83</c:v>
                </c:pt>
                <c:pt idx="6">
                  <c:v>44911.76</c:v>
                </c:pt>
                <c:pt idx="7">
                  <c:v>49076.92</c:v>
                </c:pt>
                <c:pt idx="8">
                  <c:v>51535.71</c:v>
                </c:pt>
                <c:pt idx="9">
                  <c:v>48694.17</c:v>
                </c:pt>
                <c:pt idx="10">
                  <c:v>57944.27</c:v>
                </c:pt>
                <c:pt idx="11">
                  <c:v>59755.29</c:v>
                </c:pt>
                <c:pt idx="12">
                  <c:v>48707.48</c:v>
                </c:pt>
                <c:pt idx="13">
                  <c:v>55876.78</c:v>
                </c:pt>
                <c:pt idx="14">
                  <c:v>51085.06</c:v>
                </c:pt>
                <c:pt idx="15">
                  <c:v>57333.33</c:v>
                </c:pt>
                <c:pt idx="16">
                  <c:v>55504.639999999999</c:v>
                </c:pt>
                <c:pt idx="17">
                  <c:v>63979.06</c:v>
                </c:pt>
                <c:pt idx="18">
                  <c:v>52219.7</c:v>
                </c:pt>
                <c:pt idx="19">
                  <c:v>43650.79</c:v>
                </c:pt>
                <c:pt idx="20">
                  <c:v>53519.48</c:v>
                </c:pt>
                <c:pt idx="21">
                  <c:v>68162.16</c:v>
                </c:pt>
                <c:pt idx="22">
                  <c:v>54288.77</c:v>
                </c:pt>
                <c:pt idx="23">
                  <c:v>47247.519999999997</c:v>
                </c:pt>
                <c:pt idx="24">
                  <c:v>56356.59</c:v>
                </c:pt>
                <c:pt idx="25">
                  <c:v>47663.55</c:v>
                </c:pt>
                <c:pt idx="26">
                  <c:v>41419.61</c:v>
                </c:pt>
                <c:pt idx="27">
                  <c:v>56301.37</c:v>
                </c:pt>
                <c:pt idx="28">
                  <c:v>51272.33</c:v>
                </c:pt>
                <c:pt idx="29">
                  <c:v>50052.21</c:v>
                </c:pt>
                <c:pt idx="30">
                  <c:v>50025.64</c:v>
                </c:pt>
                <c:pt idx="31">
                  <c:v>80537.850000000006</c:v>
                </c:pt>
                <c:pt idx="32">
                  <c:v>57875.65</c:v>
                </c:pt>
                <c:pt idx="33">
                  <c:v>50436.99</c:v>
                </c:pt>
                <c:pt idx="34">
                  <c:v>45269.84</c:v>
                </c:pt>
                <c:pt idx="35">
                  <c:v>48005.31</c:v>
                </c:pt>
                <c:pt idx="36">
                  <c:v>72980.72</c:v>
                </c:pt>
                <c:pt idx="37">
                  <c:v>47922.14</c:v>
                </c:pt>
                <c:pt idx="38">
                  <c:v>45912.28</c:v>
                </c:pt>
                <c:pt idx="39">
                  <c:v>52794.22</c:v>
                </c:pt>
                <c:pt idx="40">
                  <c:v>46696.55</c:v>
                </c:pt>
                <c:pt idx="41">
                  <c:v>43932.55</c:v>
                </c:pt>
                <c:pt idx="42">
                  <c:v>56448.13</c:v>
                </c:pt>
                <c:pt idx="43">
                  <c:v>47129.71</c:v>
                </c:pt>
                <c:pt idx="44">
                  <c:v>47121.08</c:v>
                </c:pt>
                <c:pt idx="45">
                  <c:v>55558.559999999998</c:v>
                </c:pt>
                <c:pt idx="46">
                  <c:v>52423.91</c:v>
                </c:pt>
                <c:pt idx="47">
                  <c:v>64152.23</c:v>
                </c:pt>
                <c:pt idx="48">
                  <c:v>45888.44</c:v>
                </c:pt>
                <c:pt idx="49">
                  <c:v>82036.14</c:v>
                </c:pt>
                <c:pt idx="50">
                  <c:v>61718.23</c:v>
                </c:pt>
                <c:pt idx="51">
                  <c:v>46801.8</c:v>
                </c:pt>
                <c:pt idx="52">
                  <c:v>43485.03</c:v>
                </c:pt>
                <c:pt idx="53">
                  <c:v>53114.75</c:v>
                </c:pt>
                <c:pt idx="54">
                  <c:v>44327.040000000001</c:v>
                </c:pt>
                <c:pt idx="55">
                  <c:v>62677.97</c:v>
                </c:pt>
                <c:pt idx="56">
                  <c:v>47080.46</c:v>
                </c:pt>
                <c:pt idx="57">
                  <c:v>47571.43</c:v>
                </c:pt>
                <c:pt idx="58">
                  <c:v>49985.4</c:v>
                </c:pt>
                <c:pt idx="59">
                  <c:v>43853.21</c:v>
                </c:pt>
                <c:pt idx="60">
                  <c:v>66183.67</c:v>
                </c:pt>
                <c:pt idx="61">
                  <c:v>48036.53</c:v>
                </c:pt>
              </c:numCache>
            </c:numRef>
          </c:xVal>
          <c:yVal>
            <c:numRef>
              <c:f>Overview_avg!$H$2:$H$63</c:f>
              <c:numCache>
                <c:formatCode>0.0</c:formatCode>
                <c:ptCount val="62"/>
                <c:pt idx="0">
                  <c:v>21.925000000000001</c:v>
                </c:pt>
                <c:pt idx="1">
                  <c:v>18.45</c:v>
                </c:pt>
                <c:pt idx="2">
                  <c:v>25.024999999999999</c:v>
                </c:pt>
                <c:pt idx="3">
                  <c:v>24.3</c:v>
                </c:pt>
                <c:pt idx="4">
                  <c:v>25.775000000000002</c:v>
                </c:pt>
                <c:pt idx="5">
                  <c:v>28.25</c:v>
                </c:pt>
                <c:pt idx="6">
                  <c:v>31.2</c:v>
                </c:pt>
                <c:pt idx="7">
                  <c:v>22.1</c:v>
                </c:pt>
                <c:pt idx="8">
                  <c:v>20.925000000000001</c:v>
                </c:pt>
                <c:pt idx="9">
                  <c:v>27.624999999999996</c:v>
                </c:pt>
                <c:pt idx="10">
                  <c:v>20.524999999999999</c:v>
                </c:pt>
                <c:pt idx="11">
                  <c:v>18.324999999999999</c:v>
                </c:pt>
                <c:pt idx="12">
                  <c:v>19.725000000000001</c:v>
                </c:pt>
                <c:pt idx="13">
                  <c:v>24.975000000000001</c:v>
                </c:pt>
                <c:pt idx="14">
                  <c:v>26.25</c:v>
                </c:pt>
                <c:pt idx="15">
                  <c:v>19.875</c:v>
                </c:pt>
                <c:pt idx="16">
                  <c:v>26.475000000000001</c:v>
                </c:pt>
                <c:pt idx="17">
                  <c:v>10.55</c:v>
                </c:pt>
                <c:pt idx="18">
                  <c:v>24.549999999999997</c:v>
                </c:pt>
                <c:pt idx="19">
                  <c:v>22.5</c:v>
                </c:pt>
                <c:pt idx="20">
                  <c:v>32.299999999999997</c:v>
                </c:pt>
                <c:pt idx="21">
                  <c:v>23.274999999999999</c:v>
                </c:pt>
                <c:pt idx="22">
                  <c:v>24.150000000000002</c:v>
                </c:pt>
                <c:pt idx="23">
                  <c:v>26.675000000000001</c:v>
                </c:pt>
                <c:pt idx="24">
                  <c:v>16.774999999999999</c:v>
                </c:pt>
                <c:pt idx="25">
                  <c:v>25.200000000000003</c:v>
                </c:pt>
                <c:pt idx="26">
                  <c:v>24.325000000000003</c:v>
                </c:pt>
                <c:pt idx="27">
                  <c:v>20.9</c:v>
                </c:pt>
                <c:pt idx="28">
                  <c:v>21.35</c:v>
                </c:pt>
                <c:pt idx="29">
                  <c:v>27.074999999999999</c:v>
                </c:pt>
                <c:pt idx="30">
                  <c:v>28.925000000000001</c:v>
                </c:pt>
                <c:pt idx="31">
                  <c:v>21.4</c:v>
                </c:pt>
                <c:pt idx="32">
                  <c:v>25.624999999999996</c:v>
                </c:pt>
                <c:pt idx="33">
                  <c:v>24.85</c:v>
                </c:pt>
                <c:pt idx="34">
                  <c:v>24.450000000000003</c:v>
                </c:pt>
                <c:pt idx="35">
                  <c:v>26.825000000000003</c:v>
                </c:pt>
                <c:pt idx="36">
                  <c:v>20.024999999999999</c:v>
                </c:pt>
                <c:pt idx="37">
                  <c:v>24.549999999999997</c:v>
                </c:pt>
                <c:pt idx="38">
                  <c:v>22.4</c:v>
                </c:pt>
                <c:pt idx="39">
                  <c:v>19.349999999999998</c:v>
                </c:pt>
                <c:pt idx="40">
                  <c:v>18.75</c:v>
                </c:pt>
                <c:pt idx="41">
                  <c:v>26.825000000000003</c:v>
                </c:pt>
                <c:pt idx="42">
                  <c:v>16.55</c:v>
                </c:pt>
                <c:pt idx="43">
                  <c:v>21.475000000000001</c:v>
                </c:pt>
                <c:pt idx="44">
                  <c:v>20.675000000000001</c:v>
                </c:pt>
                <c:pt idx="45">
                  <c:v>21.1</c:v>
                </c:pt>
                <c:pt idx="46">
                  <c:v>19.05</c:v>
                </c:pt>
                <c:pt idx="47">
                  <c:v>19.45</c:v>
                </c:pt>
                <c:pt idx="48">
                  <c:v>25.474999999999998</c:v>
                </c:pt>
                <c:pt idx="49">
                  <c:v>21.574999999999999</c:v>
                </c:pt>
                <c:pt idx="50">
                  <c:v>20.375</c:v>
                </c:pt>
                <c:pt idx="51">
                  <c:v>19.875</c:v>
                </c:pt>
                <c:pt idx="52">
                  <c:v>22.549999999999997</c:v>
                </c:pt>
                <c:pt idx="53">
                  <c:v>24.249999999999996</c:v>
                </c:pt>
                <c:pt idx="54">
                  <c:v>27.700000000000003</c:v>
                </c:pt>
                <c:pt idx="55">
                  <c:v>15.725</c:v>
                </c:pt>
                <c:pt idx="56">
                  <c:v>22.725000000000001</c:v>
                </c:pt>
                <c:pt idx="57">
                  <c:v>21.45</c:v>
                </c:pt>
                <c:pt idx="58">
                  <c:v>20.125</c:v>
                </c:pt>
                <c:pt idx="59">
                  <c:v>21.5</c:v>
                </c:pt>
                <c:pt idx="60">
                  <c:v>15.125</c:v>
                </c:pt>
                <c:pt idx="61">
                  <c:v>21.274999999999999</c:v>
                </c:pt>
              </c:numCache>
            </c:numRef>
          </c:yVal>
          <c:smooth val="0"/>
        </c:ser>
        <c:dLbls>
          <c:showLegendKey val="0"/>
          <c:showVal val="0"/>
          <c:showCatName val="0"/>
          <c:showSerName val="0"/>
          <c:showPercent val="0"/>
          <c:showBubbleSize val="0"/>
        </c:dLbls>
        <c:axId val="149320192"/>
        <c:axId val="149320768"/>
      </c:scatterChart>
      <c:valAx>
        <c:axId val="149320192"/>
        <c:scaling>
          <c:orientation val="minMax"/>
          <c:min val="30000"/>
        </c:scaling>
        <c:delete val="0"/>
        <c:axPos val="b"/>
        <c:title>
          <c:tx>
            <c:rich>
              <a:bodyPr/>
              <a:lstStyle/>
              <a:p>
                <a:pPr>
                  <a:defRPr/>
                </a:pPr>
                <a:r>
                  <a:rPr lang="en-GB"/>
                  <a:t>GVA per worker, 2017 (£)</a:t>
                </a:r>
              </a:p>
            </c:rich>
          </c:tx>
          <c:layout/>
          <c:overlay val="0"/>
        </c:title>
        <c:numFmt formatCode="#,##0" sourceLinked="1"/>
        <c:majorTickMark val="out"/>
        <c:minorTickMark val="none"/>
        <c:tickLblPos val="nextTo"/>
        <c:crossAx val="149320768"/>
        <c:crosses val="autoZero"/>
        <c:crossBetween val="midCat"/>
      </c:valAx>
      <c:valAx>
        <c:axId val="149320768"/>
        <c:scaling>
          <c:orientation val="minMax"/>
        </c:scaling>
        <c:delete val="0"/>
        <c:axPos val="l"/>
        <c:title>
          <c:tx>
            <c:rich>
              <a:bodyPr rot="-5400000" vert="horz"/>
              <a:lstStyle/>
              <a:p>
                <a:pPr>
                  <a:defRPr/>
                </a:pPr>
                <a:r>
                  <a:rPr lang="en-GB"/>
                  <a:t>Share of working age population that is economically inactive,</a:t>
                </a:r>
                <a:r>
                  <a:rPr lang="en-GB" baseline="0"/>
                  <a:t> 2017 (%)</a:t>
                </a:r>
                <a:endParaRPr lang="en-GB"/>
              </a:p>
            </c:rich>
          </c:tx>
          <c:layout/>
          <c:overlay val="0"/>
        </c:title>
        <c:numFmt formatCode="0.0" sourceLinked="1"/>
        <c:majorTickMark val="out"/>
        <c:minorTickMark val="none"/>
        <c:tickLblPos val="nextTo"/>
        <c:crossAx val="149320192"/>
        <c:crosses val="autoZero"/>
        <c:crossBetween val="midCat"/>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xVal>
            <c:numRef>
              <c:f>Overview_avg!$I$2:$I$63</c:f>
              <c:numCache>
                <c:formatCode>#,##0</c:formatCode>
                <c:ptCount val="62"/>
                <c:pt idx="0">
                  <c:v>596.9</c:v>
                </c:pt>
                <c:pt idx="1">
                  <c:v>592.6</c:v>
                </c:pt>
                <c:pt idx="2">
                  <c:v>456.3</c:v>
                </c:pt>
                <c:pt idx="3">
                  <c:v>500.6</c:v>
                </c:pt>
                <c:pt idx="4">
                  <c:v>427.4</c:v>
                </c:pt>
                <c:pt idx="5">
                  <c:v>522.29999999999995</c:v>
                </c:pt>
                <c:pt idx="6">
                  <c:v>493.5</c:v>
                </c:pt>
                <c:pt idx="7">
                  <c:v>501</c:v>
                </c:pt>
                <c:pt idx="8">
                  <c:v>507.4</c:v>
                </c:pt>
                <c:pt idx="9">
                  <c:v>455.2</c:v>
                </c:pt>
                <c:pt idx="10">
                  <c:v>495.3</c:v>
                </c:pt>
                <c:pt idx="11">
                  <c:v>548.1</c:v>
                </c:pt>
                <c:pt idx="12">
                  <c:v>458.6</c:v>
                </c:pt>
                <c:pt idx="13">
                  <c:v>600.79999999999995</c:v>
                </c:pt>
                <c:pt idx="14">
                  <c:v>504.4</c:v>
                </c:pt>
                <c:pt idx="15">
                  <c:v>494.9</c:v>
                </c:pt>
                <c:pt idx="16">
                  <c:v>531.79999999999995</c:v>
                </c:pt>
                <c:pt idx="17">
                  <c:v>632.1</c:v>
                </c:pt>
                <c:pt idx="18">
                  <c:v>592.6</c:v>
                </c:pt>
                <c:pt idx="19">
                  <c:v>447</c:v>
                </c:pt>
                <c:pt idx="20">
                  <c:v>502.3</c:v>
                </c:pt>
                <c:pt idx="21">
                  <c:v>596.70000000000005</c:v>
                </c:pt>
                <c:pt idx="22">
                  <c:v>498.8</c:v>
                </c:pt>
                <c:pt idx="23">
                  <c:v>525.79999999999995</c:v>
                </c:pt>
                <c:pt idx="24">
                  <c:v>525</c:v>
                </c:pt>
                <c:pt idx="25">
                  <c:v>424.3</c:v>
                </c:pt>
                <c:pt idx="26">
                  <c:v>466.3</c:v>
                </c:pt>
                <c:pt idx="27">
                  <c:v>504.3</c:v>
                </c:pt>
                <c:pt idx="28">
                  <c:v>532.20000000000005</c:v>
                </c:pt>
                <c:pt idx="29">
                  <c:v>479.2</c:v>
                </c:pt>
                <c:pt idx="30">
                  <c:v>511.3</c:v>
                </c:pt>
                <c:pt idx="31">
                  <c:v>722.8</c:v>
                </c:pt>
                <c:pt idx="32">
                  <c:v>569.5</c:v>
                </c:pt>
                <c:pt idx="33">
                  <c:v>511.3</c:v>
                </c:pt>
                <c:pt idx="34">
                  <c:v>472</c:v>
                </c:pt>
                <c:pt idx="35">
                  <c:v>475.3</c:v>
                </c:pt>
                <c:pt idx="36">
                  <c:v>618.6</c:v>
                </c:pt>
                <c:pt idx="37">
                  <c:v>500</c:v>
                </c:pt>
                <c:pt idx="38">
                  <c:v>471.9</c:v>
                </c:pt>
                <c:pt idx="39">
                  <c:v>512.4</c:v>
                </c:pt>
                <c:pt idx="40">
                  <c:v>449.7</c:v>
                </c:pt>
                <c:pt idx="41">
                  <c:v>486.1</c:v>
                </c:pt>
                <c:pt idx="42">
                  <c:v>599.20000000000005</c:v>
                </c:pt>
                <c:pt idx="43">
                  <c:v>496.6</c:v>
                </c:pt>
                <c:pt idx="44">
                  <c:v>466.7</c:v>
                </c:pt>
                <c:pt idx="45">
                  <c:v>519.6</c:v>
                </c:pt>
                <c:pt idx="46">
                  <c:v>478.9</c:v>
                </c:pt>
                <c:pt idx="47">
                  <c:v>656.7</c:v>
                </c:pt>
                <c:pt idx="48">
                  <c:v>473.8</c:v>
                </c:pt>
                <c:pt idx="49">
                  <c:v>608.70000000000005</c:v>
                </c:pt>
                <c:pt idx="50">
                  <c:v>578.9</c:v>
                </c:pt>
                <c:pt idx="51">
                  <c:v>412.3</c:v>
                </c:pt>
                <c:pt idx="52">
                  <c:v>455.7</c:v>
                </c:pt>
                <c:pt idx="53">
                  <c:v>482.4</c:v>
                </c:pt>
                <c:pt idx="54">
                  <c:v>463.8</c:v>
                </c:pt>
                <c:pt idx="55">
                  <c:v>559.6</c:v>
                </c:pt>
                <c:pt idx="56">
                  <c:v>497.1</c:v>
                </c:pt>
                <c:pt idx="57">
                  <c:v>482.8</c:v>
                </c:pt>
                <c:pt idx="58">
                  <c:v>511</c:v>
                </c:pt>
                <c:pt idx="59">
                  <c:v>435.9</c:v>
                </c:pt>
                <c:pt idx="60">
                  <c:v>452.7</c:v>
                </c:pt>
                <c:pt idx="61">
                  <c:v>501.5</c:v>
                </c:pt>
              </c:numCache>
            </c:numRef>
          </c:xVal>
          <c:yVal>
            <c:numRef>
              <c:f>Overview_avg!$J$2:$J$63</c:f>
              <c:numCache>
                <c:formatCode>0.0</c:formatCode>
                <c:ptCount val="62"/>
                <c:pt idx="0">
                  <c:v>21.925000000000001</c:v>
                </c:pt>
                <c:pt idx="1">
                  <c:v>18.45</c:v>
                </c:pt>
                <c:pt idx="2">
                  <c:v>25.024999999999999</c:v>
                </c:pt>
                <c:pt idx="3">
                  <c:v>24.3</c:v>
                </c:pt>
                <c:pt idx="4">
                  <c:v>25.775000000000002</c:v>
                </c:pt>
                <c:pt idx="5">
                  <c:v>28.25</c:v>
                </c:pt>
                <c:pt idx="6">
                  <c:v>31.2</c:v>
                </c:pt>
                <c:pt idx="7">
                  <c:v>22.1</c:v>
                </c:pt>
                <c:pt idx="8">
                  <c:v>20.925000000000001</c:v>
                </c:pt>
                <c:pt idx="9">
                  <c:v>27.624999999999996</c:v>
                </c:pt>
                <c:pt idx="10">
                  <c:v>20.524999999999999</c:v>
                </c:pt>
                <c:pt idx="11">
                  <c:v>18.324999999999999</c:v>
                </c:pt>
                <c:pt idx="12">
                  <c:v>19.725000000000001</c:v>
                </c:pt>
                <c:pt idx="13">
                  <c:v>24.975000000000001</c:v>
                </c:pt>
                <c:pt idx="14">
                  <c:v>26.25</c:v>
                </c:pt>
                <c:pt idx="15">
                  <c:v>19.875</c:v>
                </c:pt>
                <c:pt idx="16">
                  <c:v>26.475000000000001</c:v>
                </c:pt>
                <c:pt idx="17">
                  <c:v>10.55</c:v>
                </c:pt>
                <c:pt idx="18">
                  <c:v>24.549999999999997</c:v>
                </c:pt>
                <c:pt idx="19">
                  <c:v>22.5</c:v>
                </c:pt>
                <c:pt idx="20">
                  <c:v>32.299999999999997</c:v>
                </c:pt>
                <c:pt idx="21">
                  <c:v>23.274999999999999</c:v>
                </c:pt>
                <c:pt idx="22">
                  <c:v>24.150000000000002</c:v>
                </c:pt>
                <c:pt idx="23">
                  <c:v>26.675000000000001</c:v>
                </c:pt>
                <c:pt idx="24">
                  <c:v>16.774999999999999</c:v>
                </c:pt>
                <c:pt idx="25">
                  <c:v>25.200000000000003</c:v>
                </c:pt>
                <c:pt idx="26">
                  <c:v>24.325000000000003</c:v>
                </c:pt>
                <c:pt idx="27">
                  <c:v>20.9</c:v>
                </c:pt>
                <c:pt idx="28">
                  <c:v>21.35</c:v>
                </c:pt>
                <c:pt idx="29">
                  <c:v>27.074999999999999</c:v>
                </c:pt>
                <c:pt idx="30">
                  <c:v>28.925000000000001</c:v>
                </c:pt>
                <c:pt idx="31">
                  <c:v>21.4</c:v>
                </c:pt>
                <c:pt idx="32">
                  <c:v>25.624999999999996</c:v>
                </c:pt>
                <c:pt idx="33">
                  <c:v>24.85</c:v>
                </c:pt>
                <c:pt idx="34">
                  <c:v>24.450000000000003</c:v>
                </c:pt>
                <c:pt idx="35">
                  <c:v>26.825000000000003</c:v>
                </c:pt>
                <c:pt idx="36">
                  <c:v>20.024999999999999</c:v>
                </c:pt>
                <c:pt idx="37">
                  <c:v>24.549999999999997</c:v>
                </c:pt>
                <c:pt idx="38">
                  <c:v>22.4</c:v>
                </c:pt>
                <c:pt idx="39">
                  <c:v>19.349999999999998</c:v>
                </c:pt>
                <c:pt idx="40">
                  <c:v>18.75</c:v>
                </c:pt>
                <c:pt idx="41">
                  <c:v>26.825000000000003</c:v>
                </c:pt>
                <c:pt idx="42">
                  <c:v>16.55</c:v>
                </c:pt>
                <c:pt idx="43">
                  <c:v>21.475000000000001</c:v>
                </c:pt>
                <c:pt idx="44">
                  <c:v>20.675000000000001</c:v>
                </c:pt>
                <c:pt idx="45">
                  <c:v>21.1</c:v>
                </c:pt>
                <c:pt idx="46">
                  <c:v>19.05</c:v>
                </c:pt>
                <c:pt idx="47">
                  <c:v>19.45</c:v>
                </c:pt>
                <c:pt idx="48">
                  <c:v>25.474999999999998</c:v>
                </c:pt>
                <c:pt idx="49">
                  <c:v>21.574999999999999</c:v>
                </c:pt>
                <c:pt idx="50">
                  <c:v>20.375</c:v>
                </c:pt>
                <c:pt idx="51">
                  <c:v>19.875</c:v>
                </c:pt>
                <c:pt idx="52">
                  <c:v>22.549999999999997</c:v>
                </c:pt>
                <c:pt idx="53">
                  <c:v>24.249999999999996</c:v>
                </c:pt>
                <c:pt idx="54">
                  <c:v>27.700000000000003</c:v>
                </c:pt>
                <c:pt idx="55">
                  <c:v>15.725</c:v>
                </c:pt>
                <c:pt idx="56">
                  <c:v>22.725000000000001</c:v>
                </c:pt>
                <c:pt idx="57">
                  <c:v>21.45</c:v>
                </c:pt>
                <c:pt idx="58">
                  <c:v>20.125</c:v>
                </c:pt>
                <c:pt idx="59">
                  <c:v>21.5</c:v>
                </c:pt>
                <c:pt idx="60">
                  <c:v>15.125</c:v>
                </c:pt>
                <c:pt idx="61">
                  <c:v>21.274999999999999</c:v>
                </c:pt>
              </c:numCache>
            </c:numRef>
          </c:yVal>
          <c:smooth val="0"/>
        </c:ser>
        <c:dLbls>
          <c:showLegendKey val="0"/>
          <c:showVal val="0"/>
          <c:showCatName val="0"/>
          <c:showSerName val="0"/>
          <c:showPercent val="0"/>
          <c:showBubbleSize val="0"/>
        </c:dLbls>
        <c:axId val="258393216"/>
        <c:axId val="258393792"/>
      </c:scatterChart>
      <c:valAx>
        <c:axId val="258393216"/>
        <c:scaling>
          <c:orientation val="minMax"/>
          <c:min val="200"/>
        </c:scaling>
        <c:delete val="0"/>
        <c:axPos val="b"/>
        <c:title>
          <c:tx>
            <c:rich>
              <a:bodyPr/>
              <a:lstStyle/>
              <a:p>
                <a:pPr>
                  <a:defRPr/>
                </a:pPr>
                <a:r>
                  <a:rPr lang="en-GB"/>
                  <a:t>Average</a:t>
                </a:r>
                <a:r>
                  <a:rPr lang="en-GB" baseline="0"/>
                  <a:t> weekly workplace earnings, 2017 (£)</a:t>
                </a:r>
                <a:endParaRPr lang="en-GB"/>
              </a:p>
            </c:rich>
          </c:tx>
          <c:layout>
            <c:manualLayout>
              <c:xMode val="edge"/>
              <c:yMode val="edge"/>
              <c:x val="0.15201981750268842"/>
              <c:y val="0.84493353138159966"/>
            </c:manualLayout>
          </c:layout>
          <c:overlay val="0"/>
        </c:title>
        <c:numFmt formatCode="#,##0" sourceLinked="1"/>
        <c:majorTickMark val="out"/>
        <c:minorTickMark val="none"/>
        <c:tickLblPos val="nextTo"/>
        <c:crossAx val="258393792"/>
        <c:crosses val="autoZero"/>
        <c:crossBetween val="midCat"/>
      </c:valAx>
      <c:valAx>
        <c:axId val="258393792"/>
        <c:scaling>
          <c:orientation val="minMax"/>
        </c:scaling>
        <c:delete val="0"/>
        <c:axPos val="l"/>
        <c:title>
          <c:tx>
            <c:rich>
              <a:bodyPr rot="-5400000" vert="horz"/>
              <a:lstStyle/>
              <a:p>
                <a:pPr>
                  <a:defRPr/>
                </a:pPr>
                <a:r>
                  <a:rPr lang="en-GB"/>
                  <a:t>Share of working age population that is economically inactive, 2017 (%)</a:t>
                </a:r>
              </a:p>
            </c:rich>
          </c:tx>
          <c:layout/>
          <c:overlay val="0"/>
        </c:title>
        <c:numFmt formatCode="0.0" sourceLinked="1"/>
        <c:majorTickMark val="out"/>
        <c:minorTickMark val="none"/>
        <c:tickLblPos val="nextTo"/>
        <c:crossAx val="258393216"/>
        <c:crosses val="autoZero"/>
        <c:crossBetween val="midCat"/>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xVal>
            <c:numRef>
              <c:f>Overview_avg!$C$2:$C$63</c:f>
              <c:numCache>
                <c:formatCode>0.0</c:formatCode>
                <c:ptCount val="62"/>
                <c:pt idx="0">
                  <c:v>15.28</c:v>
                </c:pt>
                <c:pt idx="1">
                  <c:v>19.940000000000001</c:v>
                </c:pt>
                <c:pt idx="2">
                  <c:v>6.92</c:v>
                </c:pt>
                <c:pt idx="3">
                  <c:v>17.09</c:v>
                </c:pt>
                <c:pt idx="4">
                  <c:v>8.9</c:v>
                </c:pt>
                <c:pt idx="5">
                  <c:v>12.47</c:v>
                </c:pt>
                <c:pt idx="6">
                  <c:v>7.89</c:v>
                </c:pt>
                <c:pt idx="7">
                  <c:v>10.33</c:v>
                </c:pt>
                <c:pt idx="8">
                  <c:v>15.41</c:v>
                </c:pt>
                <c:pt idx="9">
                  <c:v>10.28</c:v>
                </c:pt>
                <c:pt idx="10">
                  <c:v>14.68</c:v>
                </c:pt>
                <c:pt idx="11">
                  <c:v>18.350000000000001</c:v>
                </c:pt>
                <c:pt idx="12">
                  <c:v>5.98</c:v>
                </c:pt>
                <c:pt idx="13">
                  <c:v>15.21</c:v>
                </c:pt>
                <c:pt idx="14">
                  <c:v>15.87</c:v>
                </c:pt>
                <c:pt idx="15">
                  <c:v>8.65</c:v>
                </c:pt>
                <c:pt idx="16">
                  <c:v>13.27</c:v>
                </c:pt>
                <c:pt idx="17">
                  <c:v>11.99</c:v>
                </c:pt>
                <c:pt idx="18">
                  <c:v>10.46</c:v>
                </c:pt>
                <c:pt idx="19">
                  <c:v>7.29</c:v>
                </c:pt>
                <c:pt idx="20">
                  <c:v>6.44</c:v>
                </c:pt>
                <c:pt idx="21">
                  <c:v>20.75</c:v>
                </c:pt>
                <c:pt idx="22">
                  <c:v>10.67</c:v>
                </c:pt>
                <c:pt idx="23">
                  <c:v>13.04</c:v>
                </c:pt>
                <c:pt idx="24">
                  <c:v>11.88</c:v>
                </c:pt>
                <c:pt idx="25">
                  <c:v>8.42</c:v>
                </c:pt>
                <c:pt idx="26">
                  <c:v>7.84</c:v>
                </c:pt>
                <c:pt idx="27">
                  <c:v>14.49</c:v>
                </c:pt>
                <c:pt idx="28">
                  <c:v>19.95</c:v>
                </c:pt>
                <c:pt idx="29">
                  <c:v>12.04</c:v>
                </c:pt>
                <c:pt idx="30">
                  <c:v>11.13</c:v>
                </c:pt>
                <c:pt idx="31">
                  <c:v>23.09</c:v>
                </c:pt>
                <c:pt idx="32">
                  <c:v>10.42</c:v>
                </c:pt>
                <c:pt idx="33">
                  <c:v>15.11</c:v>
                </c:pt>
                <c:pt idx="34">
                  <c:v>6.56</c:v>
                </c:pt>
                <c:pt idx="35">
                  <c:v>8.33</c:v>
                </c:pt>
                <c:pt idx="36">
                  <c:v>18.7</c:v>
                </c:pt>
                <c:pt idx="37">
                  <c:v>10.75</c:v>
                </c:pt>
                <c:pt idx="38">
                  <c:v>11.05</c:v>
                </c:pt>
                <c:pt idx="39">
                  <c:v>15.03</c:v>
                </c:pt>
                <c:pt idx="40">
                  <c:v>15.53</c:v>
                </c:pt>
                <c:pt idx="41">
                  <c:v>9.82</c:v>
                </c:pt>
                <c:pt idx="42">
                  <c:v>9.58</c:v>
                </c:pt>
                <c:pt idx="43">
                  <c:v>16.559999999999999</c:v>
                </c:pt>
                <c:pt idx="44">
                  <c:v>6.73</c:v>
                </c:pt>
                <c:pt idx="45">
                  <c:v>8.2100000000000009</c:v>
                </c:pt>
                <c:pt idx="46">
                  <c:v>8.48</c:v>
                </c:pt>
                <c:pt idx="47">
                  <c:v>23.85</c:v>
                </c:pt>
                <c:pt idx="48">
                  <c:v>12.42</c:v>
                </c:pt>
                <c:pt idx="49">
                  <c:v>13.82</c:v>
                </c:pt>
                <c:pt idx="50">
                  <c:v>13.57</c:v>
                </c:pt>
                <c:pt idx="51">
                  <c:v>12.9</c:v>
                </c:pt>
                <c:pt idx="52">
                  <c:v>6.79</c:v>
                </c:pt>
                <c:pt idx="53">
                  <c:v>8</c:v>
                </c:pt>
                <c:pt idx="54">
                  <c:v>9.66</c:v>
                </c:pt>
                <c:pt idx="55">
                  <c:v>17.64</c:v>
                </c:pt>
                <c:pt idx="56">
                  <c:v>9.44</c:v>
                </c:pt>
                <c:pt idx="57">
                  <c:v>7.1</c:v>
                </c:pt>
                <c:pt idx="58">
                  <c:v>20.329999999999998</c:v>
                </c:pt>
                <c:pt idx="59">
                  <c:v>6.85</c:v>
                </c:pt>
                <c:pt idx="60">
                  <c:v>8.9700000000000006</c:v>
                </c:pt>
                <c:pt idx="61">
                  <c:v>13.21</c:v>
                </c:pt>
              </c:numCache>
            </c:numRef>
          </c:xVal>
          <c:yVal>
            <c:numRef>
              <c:f>Overview_avg!$H$2:$H$63</c:f>
              <c:numCache>
                <c:formatCode>0.0</c:formatCode>
                <c:ptCount val="62"/>
                <c:pt idx="0">
                  <c:v>21.925000000000001</c:v>
                </c:pt>
                <c:pt idx="1">
                  <c:v>18.45</c:v>
                </c:pt>
                <c:pt idx="2">
                  <c:v>25.024999999999999</c:v>
                </c:pt>
                <c:pt idx="3">
                  <c:v>24.3</c:v>
                </c:pt>
                <c:pt idx="4">
                  <c:v>25.775000000000002</c:v>
                </c:pt>
                <c:pt idx="5">
                  <c:v>28.25</c:v>
                </c:pt>
                <c:pt idx="6">
                  <c:v>31.2</c:v>
                </c:pt>
                <c:pt idx="7">
                  <c:v>22.1</c:v>
                </c:pt>
                <c:pt idx="8">
                  <c:v>20.925000000000001</c:v>
                </c:pt>
                <c:pt idx="9">
                  <c:v>27.624999999999996</c:v>
                </c:pt>
                <c:pt idx="10">
                  <c:v>20.524999999999999</c:v>
                </c:pt>
                <c:pt idx="11">
                  <c:v>18.324999999999999</c:v>
                </c:pt>
                <c:pt idx="12">
                  <c:v>19.725000000000001</c:v>
                </c:pt>
                <c:pt idx="13">
                  <c:v>24.975000000000001</c:v>
                </c:pt>
                <c:pt idx="14">
                  <c:v>26.25</c:v>
                </c:pt>
                <c:pt idx="15">
                  <c:v>19.875</c:v>
                </c:pt>
                <c:pt idx="16">
                  <c:v>26.475000000000001</c:v>
                </c:pt>
                <c:pt idx="17">
                  <c:v>10.55</c:v>
                </c:pt>
                <c:pt idx="18">
                  <c:v>24.549999999999997</c:v>
                </c:pt>
                <c:pt idx="19">
                  <c:v>22.5</c:v>
                </c:pt>
                <c:pt idx="20">
                  <c:v>32.299999999999997</c:v>
                </c:pt>
                <c:pt idx="21">
                  <c:v>23.274999999999999</c:v>
                </c:pt>
                <c:pt idx="22">
                  <c:v>24.150000000000002</c:v>
                </c:pt>
                <c:pt idx="23">
                  <c:v>26.675000000000001</c:v>
                </c:pt>
                <c:pt idx="24">
                  <c:v>16.774999999999999</c:v>
                </c:pt>
                <c:pt idx="25">
                  <c:v>25.200000000000003</c:v>
                </c:pt>
                <c:pt idx="26">
                  <c:v>24.325000000000003</c:v>
                </c:pt>
                <c:pt idx="27">
                  <c:v>20.9</c:v>
                </c:pt>
                <c:pt idx="28">
                  <c:v>21.35</c:v>
                </c:pt>
                <c:pt idx="29">
                  <c:v>27.074999999999999</c:v>
                </c:pt>
                <c:pt idx="30">
                  <c:v>28.925000000000001</c:v>
                </c:pt>
                <c:pt idx="31">
                  <c:v>21.4</c:v>
                </c:pt>
                <c:pt idx="32">
                  <c:v>25.624999999999996</c:v>
                </c:pt>
                <c:pt idx="33">
                  <c:v>24.85</c:v>
                </c:pt>
                <c:pt idx="34">
                  <c:v>24.450000000000003</c:v>
                </c:pt>
                <c:pt idx="35">
                  <c:v>26.825000000000003</c:v>
                </c:pt>
                <c:pt idx="36">
                  <c:v>20.024999999999999</c:v>
                </c:pt>
                <c:pt idx="37">
                  <c:v>24.549999999999997</c:v>
                </c:pt>
                <c:pt idx="38">
                  <c:v>22.4</c:v>
                </c:pt>
                <c:pt idx="39">
                  <c:v>19.349999999999998</c:v>
                </c:pt>
                <c:pt idx="40">
                  <c:v>18.75</c:v>
                </c:pt>
                <c:pt idx="41">
                  <c:v>26.825000000000003</c:v>
                </c:pt>
                <c:pt idx="42">
                  <c:v>16.55</c:v>
                </c:pt>
                <c:pt idx="43">
                  <c:v>21.475000000000001</c:v>
                </c:pt>
                <c:pt idx="44">
                  <c:v>20.675000000000001</c:v>
                </c:pt>
                <c:pt idx="45">
                  <c:v>21.1</c:v>
                </c:pt>
                <c:pt idx="46">
                  <c:v>19.05</c:v>
                </c:pt>
                <c:pt idx="47">
                  <c:v>19.45</c:v>
                </c:pt>
                <c:pt idx="48">
                  <c:v>25.474999999999998</c:v>
                </c:pt>
                <c:pt idx="49">
                  <c:v>21.574999999999999</c:v>
                </c:pt>
                <c:pt idx="50">
                  <c:v>20.375</c:v>
                </c:pt>
                <c:pt idx="51">
                  <c:v>19.875</c:v>
                </c:pt>
                <c:pt idx="52">
                  <c:v>22.549999999999997</c:v>
                </c:pt>
                <c:pt idx="53">
                  <c:v>24.249999999999996</c:v>
                </c:pt>
                <c:pt idx="54">
                  <c:v>27.700000000000003</c:v>
                </c:pt>
                <c:pt idx="55">
                  <c:v>15.725</c:v>
                </c:pt>
                <c:pt idx="56">
                  <c:v>22.725000000000001</c:v>
                </c:pt>
                <c:pt idx="57">
                  <c:v>21.45</c:v>
                </c:pt>
                <c:pt idx="58">
                  <c:v>20.125</c:v>
                </c:pt>
                <c:pt idx="59">
                  <c:v>21.5</c:v>
                </c:pt>
                <c:pt idx="60">
                  <c:v>15.125</c:v>
                </c:pt>
                <c:pt idx="61">
                  <c:v>21.274999999999999</c:v>
                </c:pt>
              </c:numCache>
            </c:numRef>
          </c:yVal>
          <c:smooth val="0"/>
        </c:ser>
        <c:dLbls>
          <c:showLegendKey val="0"/>
          <c:showVal val="0"/>
          <c:showCatName val="0"/>
          <c:showSerName val="0"/>
          <c:showPercent val="0"/>
          <c:showBubbleSize val="0"/>
        </c:dLbls>
        <c:axId val="253875840"/>
        <c:axId val="253877568"/>
      </c:scatterChart>
      <c:valAx>
        <c:axId val="253875840"/>
        <c:scaling>
          <c:orientation val="minMax"/>
        </c:scaling>
        <c:delete val="0"/>
        <c:axPos val="b"/>
        <c:title>
          <c:tx>
            <c:rich>
              <a:bodyPr/>
              <a:lstStyle/>
              <a:p>
                <a:pPr>
                  <a:defRPr/>
                </a:pPr>
                <a:r>
                  <a:rPr lang="en-GB"/>
                  <a:t>Share</a:t>
                </a:r>
                <a:r>
                  <a:rPr lang="en-GB" baseline="0"/>
                  <a:t> of Knowledge Intensive Business Services, 2017 (%)</a:t>
                </a:r>
                <a:endParaRPr lang="en-GB"/>
              </a:p>
            </c:rich>
          </c:tx>
          <c:layout/>
          <c:overlay val="0"/>
        </c:title>
        <c:numFmt formatCode="0.0" sourceLinked="1"/>
        <c:majorTickMark val="out"/>
        <c:minorTickMark val="none"/>
        <c:tickLblPos val="nextTo"/>
        <c:crossAx val="253877568"/>
        <c:crosses val="autoZero"/>
        <c:crossBetween val="midCat"/>
      </c:valAx>
      <c:valAx>
        <c:axId val="253877568"/>
        <c:scaling>
          <c:orientation val="minMax"/>
        </c:scaling>
        <c:delete val="0"/>
        <c:axPos val="l"/>
        <c:title>
          <c:tx>
            <c:rich>
              <a:bodyPr rot="-5400000" vert="horz"/>
              <a:lstStyle/>
              <a:p>
                <a:pPr>
                  <a:defRPr/>
                </a:pPr>
                <a:r>
                  <a:rPr lang="en-GB"/>
                  <a:t>Share of working age population that</a:t>
                </a:r>
                <a:r>
                  <a:rPr lang="en-GB" baseline="0"/>
                  <a:t> is economically inactive, 2017 (%)</a:t>
                </a:r>
                <a:endParaRPr lang="en-GB"/>
              </a:p>
            </c:rich>
          </c:tx>
          <c:layout/>
          <c:overlay val="0"/>
        </c:title>
        <c:numFmt formatCode="0.0" sourceLinked="1"/>
        <c:majorTickMark val="out"/>
        <c:minorTickMark val="none"/>
        <c:tickLblPos val="nextTo"/>
        <c:crossAx val="253875840"/>
        <c:crosses val="autoZero"/>
        <c:crossBetween val="midCat"/>
      </c:valAx>
    </c:plotArea>
    <c:plotVisOnly val="1"/>
    <c:dispBlanksAs val="gap"/>
    <c:showDLblsOverMax val="0"/>
  </c:chart>
  <c:spPr>
    <a:ln>
      <a:noFill/>
    </a:ln>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xVal>
            <c:numRef>
              <c:f>Overview_avg!$D$2:$D$63</c:f>
              <c:numCache>
                <c:formatCode>0.0</c:formatCode>
                <c:ptCount val="62"/>
                <c:pt idx="0">
                  <c:v>51.7</c:v>
                </c:pt>
                <c:pt idx="1">
                  <c:v>49.6</c:v>
                </c:pt>
                <c:pt idx="2">
                  <c:v>31.8</c:v>
                </c:pt>
                <c:pt idx="3">
                  <c:v>27.9</c:v>
                </c:pt>
                <c:pt idx="4">
                  <c:v>32.1</c:v>
                </c:pt>
                <c:pt idx="5">
                  <c:v>28.9</c:v>
                </c:pt>
                <c:pt idx="6">
                  <c:v>28.8</c:v>
                </c:pt>
                <c:pt idx="7">
                  <c:v>29.3</c:v>
                </c:pt>
                <c:pt idx="8">
                  <c:v>36.9</c:v>
                </c:pt>
                <c:pt idx="9">
                  <c:v>26.4</c:v>
                </c:pt>
                <c:pt idx="10">
                  <c:v>50.1</c:v>
                </c:pt>
                <c:pt idx="11">
                  <c:v>49.4</c:v>
                </c:pt>
                <c:pt idx="12">
                  <c:v>27.8</c:v>
                </c:pt>
                <c:pt idx="13">
                  <c:v>58.1</c:v>
                </c:pt>
                <c:pt idx="14">
                  <c:v>48</c:v>
                </c:pt>
                <c:pt idx="15">
                  <c:v>31</c:v>
                </c:pt>
                <c:pt idx="16">
                  <c:v>34.700000000000003</c:v>
                </c:pt>
                <c:pt idx="17">
                  <c:v>33.200000000000003</c:v>
                </c:pt>
                <c:pt idx="18">
                  <c:v>31.9</c:v>
                </c:pt>
                <c:pt idx="19">
                  <c:v>23.6</c:v>
                </c:pt>
                <c:pt idx="20">
                  <c:v>38.4</c:v>
                </c:pt>
                <c:pt idx="21">
                  <c:v>57.8</c:v>
                </c:pt>
                <c:pt idx="22">
                  <c:v>51.3</c:v>
                </c:pt>
                <c:pt idx="23">
                  <c:v>47.4</c:v>
                </c:pt>
                <c:pt idx="24">
                  <c:v>26.9</c:v>
                </c:pt>
                <c:pt idx="25">
                  <c:v>32.700000000000003</c:v>
                </c:pt>
                <c:pt idx="26">
                  <c:v>26.7</c:v>
                </c:pt>
                <c:pt idx="27">
                  <c:v>24.2</c:v>
                </c:pt>
                <c:pt idx="28">
                  <c:v>36.4</c:v>
                </c:pt>
                <c:pt idx="29">
                  <c:v>29.4</c:v>
                </c:pt>
                <c:pt idx="30">
                  <c:v>32.4</c:v>
                </c:pt>
                <c:pt idx="31">
                  <c:v>50.7</c:v>
                </c:pt>
                <c:pt idx="32">
                  <c:v>33.9</c:v>
                </c:pt>
                <c:pt idx="33">
                  <c:v>36.1</c:v>
                </c:pt>
                <c:pt idx="34">
                  <c:v>17.8</c:v>
                </c:pt>
                <c:pt idx="35">
                  <c:v>31</c:v>
                </c:pt>
                <c:pt idx="36">
                  <c:v>37.4</c:v>
                </c:pt>
                <c:pt idx="37">
                  <c:v>34.1</c:v>
                </c:pt>
                <c:pt idx="38">
                  <c:v>34.6</c:v>
                </c:pt>
                <c:pt idx="39">
                  <c:v>38.9</c:v>
                </c:pt>
                <c:pt idx="40">
                  <c:v>34.1</c:v>
                </c:pt>
                <c:pt idx="41">
                  <c:v>33.1</c:v>
                </c:pt>
                <c:pt idx="42">
                  <c:v>63</c:v>
                </c:pt>
                <c:pt idx="43">
                  <c:v>25.6</c:v>
                </c:pt>
                <c:pt idx="44">
                  <c:v>31.6</c:v>
                </c:pt>
                <c:pt idx="45">
                  <c:v>32.9</c:v>
                </c:pt>
                <c:pt idx="46">
                  <c:v>34.799999999999997</c:v>
                </c:pt>
                <c:pt idx="47">
                  <c:v>50</c:v>
                </c:pt>
                <c:pt idx="48">
                  <c:v>36.700000000000003</c:v>
                </c:pt>
                <c:pt idx="49">
                  <c:v>39.4</c:v>
                </c:pt>
                <c:pt idx="50">
                  <c:v>36.4</c:v>
                </c:pt>
                <c:pt idx="51">
                  <c:v>26.4</c:v>
                </c:pt>
                <c:pt idx="52">
                  <c:v>24.5</c:v>
                </c:pt>
                <c:pt idx="53">
                  <c:v>27.3</c:v>
                </c:pt>
                <c:pt idx="54">
                  <c:v>31.8</c:v>
                </c:pt>
                <c:pt idx="55">
                  <c:v>34.200000000000003</c:v>
                </c:pt>
                <c:pt idx="56">
                  <c:v>29.6</c:v>
                </c:pt>
                <c:pt idx="57">
                  <c:v>28.4</c:v>
                </c:pt>
                <c:pt idx="58">
                  <c:v>41.4</c:v>
                </c:pt>
                <c:pt idx="59">
                  <c:v>26.8</c:v>
                </c:pt>
                <c:pt idx="60">
                  <c:v>41.3</c:v>
                </c:pt>
                <c:pt idx="61">
                  <c:v>48.8</c:v>
                </c:pt>
              </c:numCache>
            </c:numRef>
          </c:xVal>
          <c:yVal>
            <c:numRef>
              <c:f>Overview_avg!$H$2:$H$63</c:f>
              <c:numCache>
                <c:formatCode>0.0</c:formatCode>
                <c:ptCount val="62"/>
                <c:pt idx="0">
                  <c:v>21.925000000000001</c:v>
                </c:pt>
                <c:pt idx="1">
                  <c:v>18.45</c:v>
                </c:pt>
                <c:pt idx="2">
                  <c:v>25.024999999999999</c:v>
                </c:pt>
                <c:pt idx="3">
                  <c:v>24.3</c:v>
                </c:pt>
                <c:pt idx="4">
                  <c:v>25.775000000000002</c:v>
                </c:pt>
                <c:pt idx="5">
                  <c:v>28.25</c:v>
                </c:pt>
                <c:pt idx="6">
                  <c:v>31.2</c:v>
                </c:pt>
                <c:pt idx="7">
                  <c:v>22.1</c:v>
                </c:pt>
                <c:pt idx="8">
                  <c:v>20.925000000000001</c:v>
                </c:pt>
                <c:pt idx="9">
                  <c:v>27.624999999999996</c:v>
                </c:pt>
                <c:pt idx="10">
                  <c:v>20.524999999999999</c:v>
                </c:pt>
                <c:pt idx="11">
                  <c:v>18.324999999999999</c:v>
                </c:pt>
                <c:pt idx="12">
                  <c:v>19.725000000000001</c:v>
                </c:pt>
                <c:pt idx="13">
                  <c:v>24.975000000000001</c:v>
                </c:pt>
                <c:pt idx="14">
                  <c:v>26.25</c:v>
                </c:pt>
                <c:pt idx="15">
                  <c:v>19.875</c:v>
                </c:pt>
                <c:pt idx="16">
                  <c:v>26.475000000000001</c:v>
                </c:pt>
                <c:pt idx="17">
                  <c:v>10.55</c:v>
                </c:pt>
                <c:pt idx="18">
                  <c:v>24.549999999999997</c:v>
                </c:pt>
                <c:pt idx="19">
                  <c:v>22.5</c:v>
                </c:pt>
                <c:pt idx="20">
                  <c:v>32.299999999999997</c:v>
                </c:pt>
                <c:pt idx="21">
                  <c:v>23.274999999999999</c:v>
                </c:pt>
                <c:pt idx="22">
                  <c:v>24.150000000000002</c:v>
                </c:pt>
                <c:pt idx="23">
                  <c:v>26.675000000000001</c:v>
                </c:pt>
                <c:pt idx="24">
                  <c:v>16.774999999999999</c:v>
                </c:pt>
                <c:pt idx="25">
                  <c:v>25.200000000000003</c:v>
                </c:pt>
                <c:pt idx="26">
                  <c:v>24.325000000000003</c:v>
                </c:pt>
                <c:pt idx="27">
                  <c:v>20.9</c:v>
                </c:pt>
                <c:pt idx="28">
                  <c:v>21.35</c:v>
                </c:pt>
                <c:pt idx="29">
                  <c:v>27.074999999999999</c:v>
                </c:pt>
                <c:pt idx="30">
                  <c:v>28.925000000000001</c:v>
                </c:pt>
                <c:pt idx="31">
                  <c:v>21.4</c:v>
                </c:pt>
                <c:pt idx="32">
                  <c:v>25.624999999999996</c:v>
                </c:pt>
                <c:pt idx="33">
                  <c:v>24.85</c:v>
                </c:pt>
                <c:pt idx="34">
                  <c:v>24.450000000000003</c:v>
                </c:pt>
                <c:pt idx="35">
                  <c:v>26.825000000000003</c:v>
                </c:pt>
                <c:pt idx="36">
                  <c:v>20.024999999999999</c:v>
                </c:pt>
                <c:pt idx="37">
                  <c:v>24.549999999999997</c:v>
                </c:pt>
                <c:pt idx="38">
                  <c:v>22.4</c:v>
                </c:pt>
                <c:pt idx="39">
                  <c:v>19.349999999999998</c:v>
                </c:pt>
                <c:pt idx="40">
                  <c:v>18.75</c:v>
                </c:pt>
                <c:pt idx="41">
                  <c:v>26.825000000000003</c:v>
                </c:pt>
                <c:pt idx="42">
                  <c:v>16.55</c:v>
                </c:pt>
                <c:pt idx="43">
                  <c:v>21.475000000000001</c:v>
                </c:pt>
                <c:pt idx="44">
                  <c:v>20.675000000000001</c:v>
                </c:pt>
                <c:pt idx="45">
                  <c:v>21.1</c:v>
                </c:pt>
                <c:pt idx="46">
                  <c:v>19.05</c:v>
                </c:pt>
                <c:pt idx="47">
                  <c:v>19.45</c:v>
                </c:pt>
                <c:pt idx="48">
                  <c:v>25.474999999999998</c:v>
                </c:pt>
                <c:pt idx="49">
                  <c:v>21.574999999999999</c:v>
                </c:pt>
                <c:pt idx="50">
                  <c:v>20.375</c:v>
                </c:pt>
                <c:pt idx="51">
                  <c:v>19.875</c:v>
                </c:pt>
                <c:pt idx="52">
                  <c:v>22.549999999999997</c:v>
                </c:pt>
                <c:pt idx="53">
                  <c:v>24.249999999999996</c:v>
                </c:pt>
                <c:pt idx="54">
                  <c:v>27.700000000000003</c:v>
                </c:pt>
                <c:pt idx="55">
                  <c:v>15.725</c:v>
                </c:pt>
                <c:pt idx="56">
                  <c:v>22.725000000000001</c:v>
                </c:pt>
                <c:pt idx="57">
                  <c:v>21.45</c:v>
                </c:pt>
                <c:pt idx="58">
                  <c:v>20.125</c:v>
                </c:pt>
                <c:pt idx="59">
                  <c:v>21.5</c:v>
                </c:pt>
                <c:pt idx="60">
                  <c:v>15.125</c:v>
                </c:pt>
                <c:pt idx="61">
                  <c:v>21.274999999999999</c:v>
                </c:pt>
              </c:numCache>
            </c:numRef>
          </c:yVal>
          <c:smooth val="0"/>
        </c:ser>
        <c:dLbls>
          <c:showLegendKey val="0"/>
          <c:showVal val="0"/>
          <c:showCatName val="0"/>
          <c:showSerName val="0"/>
          <c:showPercent val="0"/>
          <c:showBubbleSize val="0"/>
        </c:dLbls>
        <c:axId val="186366144"/>
        <c:axId val="186367296"/>
      </c:scatterChart>
      <c:valAx>
        <c:axId val="186366144"/>
        <c:scaling>
          <c:orientation val="minMax"/>
        </c:scaling>
        <c:delete val="0"/>
        <c:axPos val="b"/>
        <c:title>
          <c:tx>
            <c:rich>
              <a:bodyPr/>
              <a:lstStyle/>
              <a:p>
                <a:pPr>
                  <a:defRPr/>
                </a:pPr>
                <a:r>
                  <a:rPr lang="en-GB"/>
                  <a:t>Share of population with high-skilled qualifications, 2017 (%)</a:t>
                </a:r>
              </a:p>
            </c:rich>
          </c:tx>
          <c:layout/>
          <c:overlay val="0"/>
        </c:title>
        <c:numFmt formatCode="0.0" sourceLinked="1"/>
        <c:majorTickMark val="out"/>
        <c:minorTickMark val="none"/>
        <c:tickLblPos val="nextTo"/>
        <c:crossAx val="186367296"/>
        <c:crosses val="autoZero"/>
        <c:crossBetween val="midCat"/>
      </c:valAx>
      <c:valAx>
        <c:axId val="186367296"/>
        <c:scaling>
          <c:orientation val="minMax"/>
        </c:scaling>
        <c:delete val="0"/>
        <c:axPos val="l"/>
        <c:title>
          <c:tx>
            <c:rich>
              <a:bodyPr rot="-5400000" vert="horz"/>
              <a:lstStyle/>
              <a:p>
                <a:pPr>
                  <a:defRPr/>
                </a:pPr>
                <a:r>
                  <a:rPr lang="en-GB"/>
                  <a:t>Share of working age population that is economically</a:t>
                </a:r>
                <a:r>
                  <a:rPr lang="en-GB" baseline="0"/>
                  <a:t> inactive, 2017 (%)</a:t>
                </a:r>
                <a:endParaRPr lang="en-GB"/>
              </a:p>
            </c:rich>
          </c:tx>
          <c:layout/>
          <c:overlay val="0"/>
        </c:title>
        <c:numFmt formatCode="0.0" sourceLinked="1"/>
        <c:majorTickMark val="out"/>
        <c:minorTickMark val="none"/>
        <c:tickLblPos val="nextTo"/>
        <c:crossAx val="186366144"/>
        <c:crosses val="autoZero"/>
        <c:crossBetween val="midCat"/>
      </c:valAx>
    </c:plotArea>
    <c:plotVisOnly val="1"/>
    <c:dispBlanksAs val="gap"/>
    <c:showDLblsOverMax val="0"/>
  </c:chart>
  <c:spPr>
    <a:ln>
      <a:noFill/>
    </a:ln>
  </c:sp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delete val="1"/>
            </c:dLbl>
            <c:dLbl>
              <c:idx val="1"/>
              <c:delete val="1"/>
            </c:dLbl>
            <c:dLbl>
              <c:idx val="2"/>
              <c:layout/>
              <c:tx>
                <c:strRef>
                  <c:f>Overview_avg!$A$4</c:f>
                  <c:strCache>
                    <c:ptCount val="1"/>
                    <c:pt idx="0">
                      <c:v>Barnsley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
              <c:delete val="1"/>
            </c:dLbl>
            <c:dLbl>
              <c:idx val="4"/>
              <c:delete val="1"/>
            </c:dLbl>
            <c:dLbl>
              <c:idx val="5"/>
              <c:delete val="1"/>
            </c:dLbl>
            <c:dLbl>
              <c:idx val="6"/>
              <c:layout/>
              <c:tx>
                <c:strRef>
                  <c:f>Overview_avg!$A$8</c:f>
                  <c:strCache>
                    <c:ptCount val="1"/>
                    <c:pt idx="0">
                      <c:v>Blackburn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7"/>
              <c:delete val="1"/>
            </c:dLbl>
            <c:dLbl>
              <c:idx val="8"/>
              <c:delete val="1"/>
            </c:dLbl>
            <c:dLbl>
              <c:idx val="9"/>
              <c:delete val="1"/>
            </c:dLbl>
            <c:dLbl>
              <c:idx val="10"/>
              <c:delete val="1"/>
            </c:dLbl>
            <c:dLbl>
              <c:idx val="11"/>
              <c:delete val="1"/>
            </c:dLbl>
            <c:dLbl>
              <c:idx val="12"/>
              <c:layout/>
              <c:tx>
                <c:strRef>
                  <c:f>Overview_avg!$A$14</c:f>
                  <c:strCache>
                    <c:ptCount val="1"/>
                    <c:pt idx="0">
                      <c:v>Burnley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3"/>
              <c:layout/>
              <c:tx>
                <c:strRef>
                  <c:f>Overview_avg!$A$15</c:f>
                  <c:strCache>
                    <c:ptCount val="1"/>
                    <c:pt idx="0">
                      <c:v>Cambridge</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4"/>
              <c:delete val="1"/>
            </c:dLbl>
            <c:dLbl>
              <c:idx val="15"/>
              <c:delete val="1"/>
            </c:dLbl>
            <c:dLbl>
              <c:idx val="16"/>
              <c:delete val="1"/>
            </c:dLbl>
            <c:dLbl>
              <c:idx val="17"/>
              <c:layout/>
              <c:tx>
                <c:strRef>
                  <c:f>Overview_avg!$A$19</c:f>
                  <c:strCache>
                    <c:ptCount val="1"/>
                    <c:pt idx="0">
                      <c:v>Crawley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8"/>
              <c:delete val="1"/>
            </c:dLbl>
            <c:dLbl>
              <c:idx val="19"/>
              <c:layout/>
              <c:tx>
                <c:strRef>
                  <c:f>Overview_avg!$A$21</c:f>
                  <c:strCache>
                    <c:ptCount val="1"/>
                    <c:pt idx="0">
                      <c:v>Doncaster</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0"/>
              <c:layout/>
              <c:tx>
                <c:strRef>
                  <c:f>Overview_avg!$A$22</c:f>
                  <c:strCache>
                    <c:ptCount val="1"/>
                    <c:pt idx="0">
                      <c:v>Dundee</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1"/>
              <c:delete val="1"/>
            </c:dLbl>
            <c:dLbl>
              <c:idx val="22"/>
              <c:delete val="1"/>
            </c:dLbl>
            <c:dLbl>
              <c:idx val="23"/>
              <c:delete val="1"/>
            </c:dLbl>
            <c:dLbl>
              <c:idx val="24"/>
              <c:delete val="1"/>
            </c:dLbl>
            <c:dLbl>
              <c:idx val="25"/>
              <c:delete val="1"/>
            </c:dLbl>
            <c:dLbl>
              <c:idx val="26"/>
              <c:layout/>
              <c:tx>
                <c:strRef>
                  <c:f>Overview_avg!$A$28</c:f>
                  <c:strCache>
                    <c:ptCount val="1"/>
                    <c:pt idx="0">
                      <c:v>Hull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7"/>
              <c:delete val="1"/>
            </c:dLbl>
            <c:dLbl>
              <c:idx val="28"/>
              <c:delete val="1"/>
            </c:dLbl>
            <c:dLbl>
              <c:idx val="29"/>
              <c:delete val="1"/>
            </c:dLbl>
            <c:dLbl>
              <c:idx val="30"/>
              <c:delete val="1"/>
            </c:dLbl>
            <c:dLbl>
              <c:idx val="31"/>
              <c:delete val="1"/>
            </c:dLbl>
            <c:dLbl>
              <c:idx val="32"/>
              <c:delete val="1"/>
            </c:dLbl>
            <c:dLbl>
              <c:idx val="33"/>
              <c:delete val="1"/>
            </c:dLbl>
            <c:dLbl>
              <c:idx val="34"/>
              <c:delete val="1"/>
            </c:dLbl>
            <c:dLbl>
              <c:idx val="35"/>
              <c:delete val="1"/>
            </c:dLbl>
            <c:dLbl>
              <c:idx val="36"/>
              <c:delete val="1"/>
            </c:dLbl>
            <c:dLbl>
              <c:idx val="37"/>
              <c:delete val="1"/>
            </c:dLbl>
            <c:dLbl>
              <c:idx val="38"/>
              <c:delete val="1"/>
            </c:dLbl>
            <c:dLbl>
              <c:idx val="39"/>
              <c:delete val="1"/>
            </c:dLbl>
            <c:dLbl>
              <c:idx val="40"/>
              <c:delete val="1"/>
            </c:dLbl>
            <c:dLbl>
              <c:idx val="41"/>
              <c:delete val="1"/>
            </c:dLbl>
            <c:dLbl>
              <c:idx val="42"/>
              <c:delete val="1"/>
            </c:dLbl>
            <c:dLbl>
              <c:idx val="43"/>
              <c:delete val="1"/>
            </c:dLbl>
            <c:dLbl>
              <c:idx val="44"/>
              <c:delete val="1"/>
            </c:dLbl>
            <c:dLbl>
              <c:idx val="45"/>
              <c:delete val="1"/>
            </c:dLbl>
            <c:dLbl>
              <c:idx val="46"/>
              <c:delete val="1"/>
            </c:dLbl>
            <c:dLbl>
              <c:idx val="47"/>
              <c:layout/>
              <c:tx>
                <c:strRef>
                  <c:f>Overview_avg!$A$49</c:f>
                  <c:strCache>
                    <c:ptCount val="1"/>
                    <c:pt idx="0">
                      <c:v>Reading</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8"/>
              <c:delete val="1"/>
            </c:dLbl>
            <c:dLbl>
              <c:idx val="49"/>
              <c:delete val="1"/>
            </c:dLbl>
            <c:dLbl>
              <c:idx val="50"/>
              <c:delete val="1"/>
            </c:dLbl>
            <c:dLbl>
              <c:idx val="51"/>
              <c:delete val="1"/>
            </c:dLbl>
            <c:dLbl>
              <c:idx val="52"/>
              <c:delete val="1"/>
            </c:dLbl>
            <c:dLbl>
              <c:idx val="53"/>
              <c:delete val="1"/>
            </c:dLbl>
            <c:dLbl>
              <c:idx val="54"/>
              <c:delete val="1"/>
            </c:dLbl>
            <c:dLbl>
              <c:idx val="55"/>
              <c:delete val="1"/>
            </c:dLbl>
            <c:dLbl>
              <c:idx val="56"/>
              <c:delete val="1"/>
            </c:dLbl>
            <c:dLbl>
              <c:idx val="57"/>
              <c:delete val="1"/>
            </c:dLbl>
            <c:dLbl>
              <c:idx val="58"/>
              <c:delete val="1"/>
            </c:dLbl>
            <c:dLbl>
              <c:idx val="59"/>
              <c:delete val="1"/>
            </c:dLbl>
            <c:dLbl>
              <c:idx val="60"/>
              <c:layout/>
              <c:tx>
                <c:strRef>
                  <c:f>Overview_avg!$A$62</c:f>
                  <c:strCache>
                    <c:ptCount val="1"/>
                    <c:pt idx="0">
                      <c:v>Worthing</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61"/>
              <c:delete val="1"/>
            </c:dLbl>
            <c:showLegendKey val="0"/>
            <c:showVal val="1"/>
            <c:showCatName val="0"/>
            <c:showSerName val="0"/>
            <c:showPercent val="0"/>
            <c:showBubbleSize val="0"/>
            <c:showLeaderLines val="0"/>
          </c:dLbls>
          <c:xVal>
            <c:numRef>
              <c:f>Overview_avg!$H$2:$H$63</c:f>
              <c:numCache>
                <c:formatCode>#,##0.0</c:formatCode>
                <c:ptCount val="62"/>
                <c:pt idx="0">
                  <c:v>4.8</c:v>
                </c:pt>
                <c:pt idx="1">
                  <c:v>4</c:v>
                </c:pt>
                <c:pt idx="2">
                  <c:v>5.3500000000000005</c:v>
                </c:pt>
                <c:pt idx="3">
                  <c:v>3.9999999999999996</c:v>
                </c:pt>
                <c:pt idx="4">
                  <c:v>3.6750000000000003</c:v>
                </c:pt>
                <c:pt idx="5">
                  <c:v>7.3250000000000002</c:v>
                </c:pt>
                <c:pt idx="6">
                  <c:v>5.95</c:v>
                </c:pt>
                <c:pt idx="7">
                  <c:v>5.5750000000000002</c:v>
                </c:pt>
                <c:pt idx="8">
                  <c:v>2.8250000000000002</c:v>
                </c:pt>
                <c:pt idx="9">
                  <c:v>6.2</c:v>
                </c:pt>
                <c:pt idx="10">
                  <c:v>6.2250000000000005</c:v>
                </c:pt>
                <c:pt idx="11">
                  <c:v>4.2750000000000004</c:v>
                </c:pt>
                <c:pt idx="12">
                  <c:v>5.9250000000000007</c:v>
                </c:pt>
                <c:pt idx="13">
                  <c:v>3.1750000000000003</c:v>
                </c:pt>
                <c:pt idx="14">
                  <c:v>5.625</c:v>
                </c:pt>
                <c:pt idx="15">
                  <c:v>5.6999999999999993</c:v>
                </c:pt>
                <c:pt idx="16">
                  <c:v>4.75</c:v>
                </c:pt>
                <c:pt idx="17">
                  <c:v>3.6</c:v>
                </c:pt>
                <c:pt idx="18">
                  <c:v>3.55</c:v>
                </c:pt>
                <c:pt idx="19">
                  <c:v>7.05</c:v>
                </c:pt>
                <c:pt idx="20">
                  <c:v>3.9749999999999996</c:v>
                </c:pt>
                <c:pt idx="21">
                  <c:v>3.0500000000000003</c:v>
                </c:pt>
                <c:pt idx="22">
                  <c:v>5.95</c:v>
                </c:pt>
                <c:pt idx="23">
                  <c:v>4.9000000000000004</c:v>
                </c:pt>
                <c:pt idx="24">
                  <c:v>4.7249999999999996</c:v>
                </c:pt>
                <c:pt idx="25">
                  <c:v>5.3500000000000005</c:v>
                </c:pt>
                <c:pt idx="26">
                  <c:v>7.9250000000000007</c:v>
                </c:pt>
                <c:pt idx="27">
                  <c:v>4.3</c:v>
                </c:pt>
                <c:pt idx="28">
                  <c:v>3.9000000000000004</c:v>
                </c:pt>
                <c:pt idx="29">
                  <c:v>5.0999999999999996</c:v>
                </c:pt>
                <c:pt idx="30">
                  <c:v>5.8</c:v>
                </c:pt>
                <c:pt idx="31">
                  <c:v>5.35</c:v>
                </c:pt>
                <c:pt idx="32">
                  <c:v>5.9750000000000005</c:v>
                </c:pt>
                <c:pt idx="33">
                  <c:v>5.8500000000000005</c:v>
                </c:pt>
                <c:pt idx="34">
                  <c:v>5.7</c:v>
                </c:pt>
                <c:pt idx="35">
                  <c:v>6.4499999999999993</c:v>
                </c:pt>
                <c:pt idx="36">
                  <c:v>4.1499999999999995</c:v>
                </c:pt>
                <c:pt idx="37">
                  <c:v>6.6749999999999998</c:v>
                </c:pt>
                <c:pt idx="38">
                  <c:v>4.5500000000000007</c:v>
                </c:pt>
                <c:pt idx="39">
                  <c:v>5.0750000000000002</c:v>
                </c:pt>
                <c:pt idx="40">
                  <c:v>4.55</c:v>
                </c:pt>
                <c:pt idx="41">
                  <c:v>5</c:v>
                </c:pt>
                <c:pt idx="42">
                  <c:v>4.2</c:v>
                </c:pt>
                <c:pt idx="43">
                  <c:v>5.6000000000000005</c:v>
                </c:pt>
                <c:pt idx="44">
                  <c:v>5.4749999999999996</c:v>
                </c:pt>
                <c:pt idx="45">
                  <c:v>4.0999999999999996</c:v>
                </c:pt>
                <c:pt idx="46">
                  <c:v>3.5999999999999996</c:v>
                </c:pt>
                <c:pt idx="47">
                  <c:v>2.625</c:v>
                </c:pt>
                <c:pt idx="48">
                  <c:v>6.1000000000000005</c:v>
                </c:pt>
                <c:pt idx="49">
                  <c:v>4.625</c:v>
                </c:pt>
                <c:pt idx="50">
                  <c:v>4.625</c:v>
                </c:pt>
                <c:pt idx="51">
                  <c:v>3.8499999999999996</c:v>
                </c:pt>
                <c:pt idx="52">
                  <c:v>5.2750000000000004</c:v>
                </c:pt>
                <c:pt idx="53">
                  <c:v>7.8249999999999993</c:v>
                </c:pt>
                <c:pt idx="54">
                  <c:v>5.3250000000000002</c:v>
                </c:pt>
                <c:pt idx="55">
                  <c:v>4.7750000000000004</c:v>
                </c:pt>
                <c:pt idx="56">
                  <c:v>4.4749999999999996</c:v>
                </c:pt>
                <c:pt idx="57">
                  <c:v>6.125</c:v>
                </c:pt>
                <c:pt idx="58">
                  <c:v>3.125</c:v>
                </c:pt>
                <c:pt idx="59">
                  <c:v>3.75</c:v>
                </c:pt>
                <c:pt idx="60">
                  <c:v>2.3666666666666667</c:v>
                </c:pt>
                <c:pt idx="61">
                  <c:v>2.95</c:v>
                </c:pt>
              </c:numCache>
            </c:numRef>
          </c:xVal>
          <c:yVal>
            <c:numRef>
              <c:f>Overview_avg!$I$2:$I$63</c:f>
              <c:numCache>
                <c:formatCode>0.0</c:formatCode>
                <c:ptCount val="62"/>
                <c:pt idx="0">
                  <c:v>21.925000000000001</c:v>
                </c:pt>
                <c:pt idx="1">
                  <c:v>18.45</c:v>
                </c:pt>
                <c:pt idx="2">
                  <c:v>25.024999999999999</c:v>
                </c:pt>
                <c:pt idx="3">
                  <c:v>24.3</c:v>
                </c:pt>
                <c:pt idx="4">
                  <c:v>25.775000000000002</c:v>
                </c:pt>
                <c:pt idx="5">
                  <c:v>28.25</c:v>
                </c:pt>
                <c:pt idx="6">
                  <c:v>31.2</c:v>
                </c:pt>
                <c:pt idx="7">
                  <c:v>22.1</c:v>
                </c:pt>
                <c:pt idx="8">
                  <c:v>20.925000000000001</c:v>
                </c:pt>
                <c:pt idx="9">
                  <c:v>27.624999999999996</c:v>
                </c:pt>
                <c:pt idx="10">
                  <c:v>20.524999999999999</c:v>
                </c:pt>
                <c:pt idx="11">
                  <c:v>18.324999999999999</c:v>
                </c:pt>
                <c:pt idx="12">
                  <c:v>19.725000000000001</c:v>
                </c:pt>
                <c:pt idx="13">
                  <c:v>24.975000000000001</c:v>
                </c:pt>
                <c:pt idx="14">
                  <c:v>26.25</c:v>
                </c:pt>
                <c:pt idx="15">
                  <c:v>19.875</c:v>
                </c:pt>
                <c:pt idx="16">
                  <c:v>26.475000000000001</c:v>
                </c:pt>
                <c:pt idx="17">
                  <c:v>10.55</c:v>
                </c:pt>
                <c:pt idx="18">
                  <c:v>24.549999999999997</c:v>
                </c:pt>
                <c:pt idx="19">
                  <c:v>22.5</c:v>
                </c:pt>
                <c:pt idx="20">
                  <c:v>32.299999999999997</c:v>
                </c:pt>
                <c:pt idx="21">
                  <c:v>23.274999999999999</c:v>
                </c:pt>
                <c:pt idx="22">
                  <c:v>24.150000000000002</c:v>
                </c:pt>
                <c:pt idx="23">
                  <c:v>26.675000000000001</c:v>
                </c:pt>
                <c:pt idx="24">
                  <c:v>16.774999999999999</c:v>
                </c:pt>
                <c:pt idx="25">
                  <c:v>25.200000000000003</c:v>
                </c:pt>
                <c:pt idx="26">
                  <c:v>24.325000000000003</c:v>
                </c:pt>
                <c:pt idx="27">
                  <c:v>20.9</c:v>
                </c:pt>
                <c:pt idx="28">
                  <c:v>21.35</c:v>
                </c:pt>
                <c:pt idx="29">
                  <c:v>27.074999999999999</c:v>
                </c:pt>
                <c:pt idx="30">
                  <c:v>28.925000000000001</c:v>
                </c:pt>
                <c:pt idx="31">
                  <c:v>21.4</c:v>
                </c:pt>
                <c:pt idx="32">
                  <c:v>25.624999999999996</c:v>
                </c:pt>
                <c:pt idx="33">
                  <c:v>24.85</c:v>
                </c:pt>
                <c:pt idx="34">
                  <c:v>24.450000000000003</c:v>
                </c:pt>
                <c:pt idx="35">
                  <c:v>26.825000000000003</c:v>
                </c:pt>
                <c:pt idx="36">
                  <c:v>20.024999999999999</c:v>
                </c:pt>
                <c:pt idx="37">
                  <c:v>24.549999999999997</c:v>
                </c:pt>
                <c:pt idx="38">
                  <c:v>22.4</c:v>
                </c:pt>
                <c:pt idx="39">
                  <c:v>19.349999999999998</c:v>
                </c:pt>
                <c:pt idx="40">
                  <c:v>18.75</c:v>
                </c:pt>
                <c:pt idx="41">
                  <c:v>26.825000000000003</c:v>
                </c:pt>
                <c:pt idx="42">
                  <c:v>16.55</c:v>
                </c:pt>
                <c:pt idx="43">
                  <c:v>21.475000000000001</c:v>
                </c:pt>
                <c:pt idx="44">
                  <c:v>20.675000000000001</c:v>
                </c:pt>
                <c:pt idx="45">
                  <c:v>21.1</c:v>
                </c:pt>
                <c:pt idx="46">
                  <c:v>19.05</c:v>
                </c:pt>
                <c:pt idx="47">
                  <c:v>19.45</c:v>
                </c:pt>
                <c:pt idx="48">
                  <c:v>25.474999999999998</c:v>
                </c:pt>
                <c:pt idx="49">
                  <c:v>21.574999999999999</c:v>
                </c:pt>
                <c:pt idx="50">
                  <c:v>20.375</c:v>
                </c:pt>
                <c:pt idx="51">
                  <c:v>19.875</c:v>
                </c:pt>
                <c:pt idx="52">
                  <c:v>22.549999999999997</c:v>
                </c:pt>
                <c:pt idx="53">
                  <c:v>24.249999999999996</c:v>
                </c:pt>
                <c:pt idx="54">
                  <c:v>27.700000000000003</c:v>
                </c:pt>
                <c:pt idx="55">
                  <c:v>15.725</c:v>
                </c:pt>
                <c:pt idx="56">
                  <c:v>22.725000000000001</c:v>
                </c:pt>
                <c:pt idx="57">
                  <c:v>21.45</c:v>
                </c:pt>
                <c:pt idx="58">
                  <c:v>20.125</c:v>
                </c:pt>
                <c:pt idx="59">
                  <c:v>21.5</c:v>
                </c:pt>
                <c:pt idx="60">
                  <c:v>15.125</c:v>
                </c:pt>
                <c:pt idx="61">
                  <c:v>21.274999999999999</c:v>
                </c:pt>
              </c:numCache>
            </c:numRef>
          </c:yVal>
          <c:smooth val="0"/>
        </c:ser>
        <c:dLbls>
          <c:showLegendKey val="0"/>
          <c:showVal val="0"/>
          <c:showCatName val="0"/>
          <c:showSerName val="0"/>
          <c:showPercent val="0"/>
          <c:showBubbleSize val="0"/>
        </c:dLbls>
        <c:axId val="164551424"/>
        <c:axId val="164552000"/>
      </c:scatterChart>
      <c:valAx>
        <c:axId val="164551424"/>
        <c:scaling>
          <c:orientation val="minMax"/>
        </c:scaling>
        <c:delete val="0"/>
        <c:axPos val="b"/>
        <c:title>
          <c:tx>
            <c:rich>
              <a:bodyPr/>
              <a:lstStyle/>
              <a:p>
                <a:pPr>
                  <a:defRPr/>
                </a:pPr>
                <a:r>
                  <a:rPr lang="en-GB"/>
                  <a:t>Unemployment</a:t>
                </a:r>
                <a:r>
                  <a:rPr lang="en-GB" baseline="0"/>
                  <a:t> rate, 2017 (%)</a:t>
                </a:r>
                <a:endParaRPr lang="en-GB"/>
              </a:p>
            </c:rich>
          </c:tx>
          <c:layout/>
          <c:overlay val="0"/>
        </c:title>
        <c:numFmt formatCode="#,##0.0" sourceLinked="1"/>
        <c:majorTickMark val="out"/>
        <c:minorTickMark val="none"/>
        <c:tickLblPos val="nextTo"/>
        <c:crossAx val="164552000"/>
        <c:crosses val="autoZero"/>
        <c:crossBetween val="midCat"/>
      </c:valAx>
      <c:valAx>
        <c:axId val="164552000"/>
        <c:scaling>
          <c:orientation val="minMax"/>
        </c:scaling>
        <c:delete val="0"/>
        <c:axPos val="l"/>
        <c:title>
          <c:tx>
            <c:rich>
              <a:bodyPr rot="-5400000" vert="horz"/>
              <a:lstStyle/>
              <a:p>
                <a:pPr>
                  <a:defRPr/>
                </a:pPr>
                <a:r>
                  <a:rPr lang="en-GB"/>
                  <a:t>Share</a:t>
                </a:r>
                <a:r>
                  <a:rPr lang="en-GB" baseline="0"/>
                  <a:t> of working age population that is economically inative, 2017 (%)</a:t>
                </a:r>
                <a:endParaRPr lang="en-GB"/>
              </a:p>
            </c:rich>
          </c:tx>
          <c:layout/>
          <c:overlay val="0"/>
        </c:title>
        <c:numFmt formatCode="0.0" sourceLinked="1"/>
        <c:majorTickMark val="out"/>
        <c:minorTickMark val="none"/>
        <c:tickLblPos val="nextTo"/>
        <c:crossAx val="164551424"/>
        <c:crosses val="autoZero"/>
        <c:crossBetween val="midCat"/>
      </c:valAx>
    </c:plotArea>
    <c:plotVisOnly val="1"/>
    <c:dispBlanksAs val="gap"/>
    <c:showDLblsOverMax val="0"/>
  </c:chart>
  <c:spPr>
    <a:ln>
      <a:noFill/>
    </a:ln>
  </c:sp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layout/>
              <c:tx>
                <c:strRef>
                  <c:f>Overview_avg!$A$2</c:f>
                  <c:strCache>
                    <c:ptCount val="1"/>
                    <c:pt idx="0">
                      <c:v>Aberdeen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
              <c:delete val="1"/>
            </c:dLbl>
            <c:dLbl>
              <c:idx val="2"/>
              <c:delete val="1"/>
            </c:dLbl>
            <c:dLbl>
              <c:idx val="3"/>
              <c:delete val="1"/>
            </c:dLbl>
            <c:dLbl>
              <c:idx val="4"/>
              <c:delete val="1"/>
            </c:dLbl>
            <c:dLbl>
              <c:idx val="5"/>
              <c:delete val="1"/>
            </c:dLbl>
            <c:dLbl>
              <c:idx val="6"/>
              <c:layout/>
              <c:tx>
                <c:strRef>
                  <c:f>Overview_avg!$A$8</c:f>
                  <c:strCache>
                    <c:ptCount val="1"/>
                    <c:pt idx="0">
                      <c:v>Blackburn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7"/>
              <c:layout/>
              <c:tx>
                <c:strRef>
                  <c:f>Overview_avg!$A$9</c:f>
                  <c:strCache>
                    <c:ptCount val="1"/>
                    <c:pt idx="0">
                      <c:v>Blackpool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8"/>
              <c:delete val="1"/>
            </c:dLbl>
            <c:dLbl>
              <c:idx val="9"/>
              <c:delete val="1"/>
            </c:dLbl>
            <c:dLbl>
              <c:idx val="10"/>
              <c:delete val="1"/>
            </c:dLbl>
            <c:dLbl>
              <c:idx val="11"/>
              <c:delete val="1"/>
            </c:dLbl>
            <c:dLbl>
              <c:idx val="12"/>
              <c:layout/>
              <c:tx>
                <c:strRef>
                  <c:f>Overview_avg!$A$14</c:f>
                  <c:strCache>
                    <c:ptCount val="1"/>
                    <c:pt idx="0">
                      <c:v>Burnley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3"/>
              <c:layout/>
              <c:tx>
                <c:strRef>
                  <c:f>Overview_avg!$A$15</c:f>
                  <c:strCache>
                    <c:ptCount val="1"/>
                    <c:pt idx="0">
                      <c:v>Cambridge</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4"/>
              <c:delete val="1"/>
            </c:dLbl>
            <c:dLbl>
              <c:idx val="15"/>
              <c:delete val="1"/>
            </c:dLbl>
            <c:dLbl>
              <c:idx val="16"/>
              <c:delete val="1"/>
            </c:dLbl>
            <c:dLbl>
              <c:idx val="17"/>
              <c:layout/>
              <c:tx>
                <c:strRef>
                  <c:f>Overview_avg!$A$19</c:f>
                  <c:strCache>
                    <c:ptCount val="1"/>
                    <c:pt idx="0">
                      <c:v>Crawley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8"/>
              <c:delete val="1"/>
            </c:dLbl>
            <c:dLbl>
              <c:idx val="19"/>
              <c:delete val="1"/>
            </c:dLbl>
            <c:dLbl>
              <c:idx val="20"/>
              <c:delete val="1"/>
            </c:dLbl>
            <c:dLbl>
              <c:idx val="21"/>
              <c:delete val="1"/>
            </c:dLbl>
            <c:dLbl>
              <c:idx val="22"/>
              <c:delete val="1"/>
            </c:dLbl>
            <c:dLbl>
              <c:idx val="23"/>
              <c:delete val="1"/>
            </c:dLbl>
            <c:dLbl>
              <c:idx val="24"/>
              <c:delete val="1"/>
            </c:dLbl>
            <c:dLbl>
              <c:idx val="25"/>
              <c:delete val="1"/>
            </c:dLbl>
            <c:dLbl>
              <c:idx val="26"/>
              <c:delete val="1"/>
            </c:dLbl>
            <c:dLbl>
              <c:idx val="27"/>
              <c:delete val="1"/>
            </c:dLbl>
            <c:dLbl>
              <c:idx val="28"/>
              <c:delete val="1"/>
            </c:dLbl>
            <c:dLbl>
              <c:idx val="29"/>
              <c:delete val="1"/>
            </c:dLbl>
            <c:dLbl>
              <c:idx val="30"/>
              <c:layout/>
              <c:tx>
                <c:strRef>
                  <c:f>Overview_avg!$A$32</c:f>
                  <c:strCache>
                    <c:ptCount val="1"/>
                    <c:pt idx="0">
                      <c:v>Liverpool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1"/>
              <c:delete val="1"/>
            </c:dLbl>
            <c:dLbl>
              <c:idx val="32"/>
              <c:layout/>
              <c:tx>
                <c:strRef>
                  <c:f>Overview_avg!$A$34</c:f>
                  <c:strCache>
                    <c:ptCount val="1"/>
                    <c:pt idx="0">
                      <c:v>Luton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3"/>
              <c:delete val="1"/>
            </c:dLbl>
            <c:dLbl>
              <c:idx val="34"/>
              <c:delete val="1"/>
            </c:dLbl>
            <c:dLbl>
              <c:idx val="35"/>
              <c:delete val="1"/>
            </c:dLbl>
            <c:dLbl>
              <c:idx val="36"/>
              <c:delete val="1"/>
            </c:dLbl>
            <c:dLbl>
              <c:idx val="37"/>
              <c:delete val="1"/>
            </c:dLbl>
            <c:dLbl>
              <c:idx val="38"/>
              <c:delete val="1"/>
            </c:dLbl>
            <c:dLbl>
              <c:idx val="39"/>
              <c:delete val="1"/>
            </c:dLbl>
            <c:dLbl>
              <c:idx val="40"/>
              <c:delete val="1"/>
            </c:dLbl>
            <c:dLbl>
              <c:idx val="41"/>
              <c:delete val="1"/>
            </c:dLbl>
            <c:dLbl>
              <c:idx val="42"/>
              <c:layout/>
              <c:tx>
                <c:strRef>
                  <c:f>Overview_avg!$A$44</c:f>
                  <c:strCache>
                    <c:ptCount val="1"/>
                    <c:pt idx="0">
                      <c:v>Oxford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3"/>
              <c:delete val="1"/>
            </c:dLbl>
            <c:dLbl>
              <c:idx val="44"/>
              <c:delete val="1"/>
            </c:dLbl>
            <c:dLbl>
              <c:idx val="45"/>
              <c:delete val="1"/>
            </c:dLbl>
            <c:dLbl>
              <c:idx val="46"/>
              <c:delete val="1"/>
            </c:dLbl>
            <c:dLbl>
              <c:idx val="47"/>
              <c:delete val="1"/>
            </c:dLbl>
            <c:dLbl>
              <c:idx val="48"/>
              <c:delete val="1"/>
            </c:dLbl>
            <c:dLbl>
              <c:idx val="49"/>
              <c:delete val="1"/>
            </c:dLbl>
            <c:dLbl>
              <c:idx val="50"/>
              <c:delete val="1"/>
            </c:dLbl>
            <c:dLbl>
              <c:idx val="51"/>
              <c:delete val="1"/>
            </c:dLbl>
            <c:dLbl>
              <c:idx val="52"/>
              <c:delete val="1"/>
            </c:dLbl>
            <c:dLbl>
              <c:idx val="53"/>
              <c:delete val="1"/>
            </c:dLbl>
            <c:dLbl>
              <c:idx val="54"/>
              <c:delete val="1"/>
            </c:dLbl>
            <c:dLbl>
              <c:idx val="55"/>
              <c:delete val="1"/>
            </c:dLbl>
            <c:dLbl>
              <c:idx val="56"/>
              <c:delete val="1"/>
            </c:dLbl>
            <c:dLbl>
              <c:idx val="57"/>
              <c:delete val="1"/>
            </c:dLbl>
            <c:dLbl>
              <c:idx val="58"/>
              <c:delete val="1"/>
            </c:dLbl>
            <c:dLbl>
              <c:idx val="59"/>
              <c:delete val="1"/>
            </c:dLbl>
            <c:dLbl>
              <c:idx val="60"/>
              <c:delete val="1"/>
            </c:dLbl>
            <c:dLbl>
              <c:idx val="61"/>
              <c:delete val="1"/>
            </c:dLbl>
            <c:showLegendKey val="0"/>
            <c:showVal val="1"/>
            <c:showCatName val="0"/>
            <c:showSerName val="0"/>
            <c:showPercent val="0"/>
            <c:showBubbleSize val="0"/>
            <c:showLeaderLines val="0"/>
          </c:dLbls>
          <c:xVal>
            <c:numRef>
              <c:f>Overview_avg!$G$2:$G$63</c:f>
              <c:numCache>
                <c:formatCode>#,##0</c:formatCode>
                <c:ptCount val="62"/>
                <c:pt idx="0">
                  <c:v>2512.96</c:v>
                </c:pt>
                <c:pt idx="1">
                  <c:v>2605.41</c:v>
                </c:pt>
                <c:pt idx="2">
                  <c:v>3664.71</c:v>
                </c:pt>
                <c:pt idx="3">
                  <c:v>3225.73</c:v>
                </c:pt>
                <c:pt idx="4">
                  <c:v>4048.51</c:v>
                </c:pt>
                <c:pt idx="5">
                  <c:v>3658.02</c:v>
                </c:pt>
                <c:pt idx="6">
                  <c:v>3817.6</c:v>
                </c:pt>
                <c:pt idx="7">
                  <c:v>4338.2299999999996</c:v>
                </c:pt>
                <c:pt idx="8">
                  <c:v>3440.52</c:v>
                </c:pt>
                <c:pt idx="9">
                  <c:v>3488.47</c:v>
                </c:pt>
                <c:pt idx="10">
                  <c:v>3117.8</c:v>
                </c:pt>
                <c:pt idx="11">
                  <c:v>2935.56</c:v>
                </c:pt>
                <c:pt idx="12">
                  <c:v>3866.05</c:v>
                </c:pt>
                <c:pt idx="13">
                  <c:v>2121.48</c:v>
                </c:pt>
                <c:pt idx="14">
                  <c:v>3222.32</c:v>
                </c:pt>
                <c:pt idx="15">
                  <c:v>3145.43</c:v>
                </c:pt>
                <c:pt idx="16">
                  <c:v>3284.12</c:v>
                </c:pt>
                <c:pt idx="17">
                  <c:v>2971.06</c:v>
                </c:pt>
                <c:pt idx="18">
                  <c:v>3374.38</c:v>
                </c:pt>
                <c:pt idx="19">
                  <c:v>3525.18</c:v>
                </c:pt>
                <c:pt idx="20">
                  <c:v>3851.73</c:v>
                </c:pt>
                <c:pt idx="21">
                  <c:v>2809.05</c:v>
                </c:pt>
                <c:pt idx="22">
                  <c:v>2835.83</c:v>
                </c:pt>
                <c:pt idx="23">
                  <c:v>3721.65</c:v>
                </c:pt>
                <c:pt idx="24">
                  <c:v>3173.8</c:v>
                </c:pt>
                <c:pt idx="25">
                  <c:v>3295.17</c:v>
                </c:pt>
                <c:pt idx="26">
                  <c:v>3768.7</c:v>
                </c:pt>
                <c:pt idx="27">
                  <c:v>3345.61</c:v>
                </c:pt>
                <c:pt idx="28">
                  <c:v>3156.92</c:v>
                </c:pt>
                <c:pt idx="29">
                  <c:v>3225.3</c:v>
                </c:pt>
                <c:pt idx="30">
                  <c:v>4201.46</c:v>
                </c:pt>
                <c:pt idx="31">
                  <c:v>3045.05</c:v>
                </c:pt>
                <c:pt idx="32">
                  <c:v>3126.92</c:v>
                </c:pt>
                <c:pt idx="33">
                  <c:v>3516</c:v>
                </c:pt>
                <c:pt idx="34">
                  <c:v>3616.05</c:v>
                </c:pt>
                <c:pt idx="35">
                  <c:v>3833.79</c:v>
                </c:pt>
                <c:pt idx="36">
                  <c:v>2850.79</c:v>
                </c:pt>
                <c:pt idx="37">
                  <c:v>3654.12</c:v>
                </c:pt>
                <c:pt idx="38">
                  <c:v>3797.7</c:v>
                </c:pt>
                <c:pt idx="39">
                  <c:v>3089.71</c:v>
                </c:pt>
                <c:pt idx="40">
                  <c:v>3258.31</c:v>
                </c:pt>
                <c:pt idx="41">
                  <c:v>3286.25</c:v>
                </c:pt>
                <c:pt idx="42">
                  <c:v>2330.21</c:v>
                </c:pt>
                <c:pt idx="43">
                  <c:v>3433.9</c:v>
                </c:pt>
                <c:pt idx="44">
                  <c:v>3426.59</c:v>
                </c:pt>
                <c:pt idx="45">
                  <c:v>3149.25</c:v>
                </c:pt>
                <c:pt idx="46">
                  <c:v>3225.19</c:v>
                </c:pt>
                <c:pt idx="47">
                  <c:v>2534.8200000000002</c:v>
                </c:pt>
                <c:pt idx="48">
                  <c:v>3400.44</c:v>
                </c:pt>
                <c:pt idx="49">
                  <c:v>2875.62</c:v>
                </c:pt>
                <c:pt idx="50">
                  <c:v>2903.39</c:v>
                </c:pt>
                <c:pt idx="51">
                  <c:v>3414.81</c:v>
                </c:pt>
                <c:pt idx="52">
                  <c:v>3612.87</c:v>
                </c:pt>
                <c:pt idx="53">
                  <c:v>3924.11</c:v>
                </c:pt>
                <c:pt idx="54">
                  <c:v>3976.21</c:v>
                </c:pt>
                <c:pt idx="55">
                  <c:v>2878.21</c:v>
                </c:pt>
                <c:pt idx="56">
                  <c:v>3539.77</c:v>
                </c:pt>
                <c:pt idx="57">
                  <c:v>3546.23</c:v>
                </c:pt>
                <c:pt idx="58">
                  <c:v>3071.59</c:v>
                </c:pt>
                <c:pt idx="59">
                  <c:v>3496.39</c:v>
                </c:pt>
                <c:pt idx="60">
                  <c:v>3469.99</c:v>
                </c:pt>
                <c:pt idx="61">
                  <c:v>2604.19</c:v>
                </c:pt>
              </c:numCache>
            </c:numRef>
          </c:xVal>
          <c:yVal>
            <c:numRef>
              <c:f>Overview_avg!$H$2:$H$63</c:f>
              <c:numCache>
                <c:formatCode>0.0</c:formatCode>
                <c:ptCount val="62"/>
                <c:pt idx="0">
                  <c:v>21.925000000000001</c:v>
                </c:pt>
                <c:pt idx="1">
                  <c:v>18.45</c:v>
                </c:pt>
                <c:pt idx="2">
                  <c:v>25.024999999999999</c:v>
                </c:pt>
                <c:pt idx="3">
                  <c:v>24.3</c:v>
                </c:pt>
                <c:pt idx="4">
                  <c:v>25.775000000000002</c:v>
                </c:pt>
                <c:pt idx="5">
                  <c:v>28.25</c:v>
                </c:pt>
                <c:pt idx="6">
                  <c:v>31.2</c:v>
                </c:pt>
                <c:pt idx="7">
                  <c:v>22.1</c:v>
                </c:pt>
                <c:pt idx="8">
                  <c:v>20.925000000000001</c:v>
                </c:pt>
                <c:pt idx="9">
                  <c:v>27.624999999999996</c:v>
                </c:pt>
                <c:pt idx="10">
                  <c:v>20.524999999999999</c:v>
                </c:pt>
                <c:pt idx="11">
                  <c:v>18.324999999999999</c:v>
                </c:pt>
                <c:pt idx="12">
                  <c:v>19.725000000000001</c:v>
                </c:pt>
                <c:pt idx="13">
                  <c:v>24.975000000000001</c:v>
                </c:pt>
                <c:pt idx="14">
                  <c:v>26.25</c:v>
                </c:pt>
                <c:pt idx="15">
                  <c:v>19.875</c:v>
                </c:pt>
                <c:pt idx="16">
                  <c:v>26.475000000000001</c:v>
                </c:pt>
                <c:pt idx="17">
                  <c:v>10.55</c:v>
                </c:pt>
                <c:pt idx="18">
                  <c:v>24.549999999999997</c:v>
                </c:pt>
                <c:pt idx="19">
                  <c:v>22.5</c:v>
                </c:pt>
                <c:pt idx="20">
                  <c:v>32.299999999999997</c:v>
                </c:pt>
                <c:pt idx="21">
                  <c:v>23.274999999999999</c:v>
                </c:pt>
                <c:pt idx="22">
                  <c:v>24.150000000000002</c:v>
                </c:pt>
                <c:pt idx="23">
                  <c:v>26.675000000000001</c:v>
                </c:pt>
                <c:pt idx="24">
                  <c:v>16.774999999999999</c:v>
                </c:pt>
                <c:pt idx="25">
                  <c:v>25.200000000000003</c:v>
                </c:pt>
                <c:pt idx="26">
                  <c:v>24.325000000000003</c:v>
                </c:pt>
                <c:pt idx="27">
                  <c:v>20.9</c:v>
                </c:pt>
                <c:pt idx="28">
                  <c:v>21.35</c:v>
                </c:pt>
                <c:pt idx="29">
                  <c:v>27.074999999999999</c:v>
                </c:pt>
                <c:pt idx="30">
                  <c:v>28.925000000000001</c:v>
                </c:pt>
                <c:pt idx="31">
                  <c:v>21.4</c:v>
                </c:pt>
                <c:pt idx="32">
                  <c:v>25.624999999999996</c:v>
                </c:pt>
                <c:pt idx="33">
                  <c:v>24.85</c:v>
                </c:pt>
                <c:pt idx="34">
                  <c:v>24.450000000000003</c:v>
                </c:pt>
                <c:pt idx="35">
                  <c:v>26.825000000000003</c:v>
                </c:pt>
                <c:pt idx="36">
                  <c:v>20.024999999999999</c:v>
                </c:pt>
                <c:pt idx="37">
                  <c:v>24.549999999999997</c:v>
                </c:pt>
                <c:pt idx="38">
                  <c:v>22.4</c:v>
                </c:pt>
                <c:pt idx="39">
                  <c:v>19.349999999999998</c:v>
                </c:pt>
                <c:pt idx="40">
                  <c:v>18.75</c:v>
                </c:pt>
                <c:pt idx="41">
                  <c:v>26.825000000000003</c:v>
                </c:pt>
                <c:pt idx="42">
                  <c:v>16.55</c:v>
                </c:pt>
                <c:pt idx="43">
                  <c:v>21.475000000000001</c:v>
                </c:pt>
                <c:pt idx="44">
                  <c:v>20.675000000000001</c:v>
                </c:pt>
                <c:pt idx="45">
                  <c:v>21.1</c:v>
                </c:pt>
                <c:pt idx="46">
                  <c:v>19.05</c:v>
                </c:pt>
                <c:pt idx="47">
                  <c:v>19.45</c:v>
                </c:pt>
                <c:pt idx="48">
                  <c:v>25.474999999999998</c:v>
                </c:pt>
                <c:pt idx="49">
                  <c:v>21.574999999999999</c:v>
                </c:pt>
                <c:pt idx="50">
                  <c:v>20.375</c:v>
                </c:pt>
                <c:pt idx="51">
                  <c:v>19.875</c:v>
                </c:pt>
                <c:pt idx="52">
                  <c:v>22.549999999999997</c:v>
                </c:pt>
                <c:pt idx="53">
                  <c:v>24.249999999999996</c:v>
                </c:pt>
                <c:pt idx="54">
                  <c:v>27.700000000000003</c:v>
                </c:pt>
                <c:pt idx="55">
                  <c:v>15.725</c:v>
                </c:pt>
                <c:pt idx="56">
                  <c:v>22.725000000000001</c:v>
                </c:pt>
                <c:pt idx="57">
                  <c:v>21.45</c:v>
                </c:pt>
                <c:pt idx="58">
                  <c:v>20.125</c:v>
                </c:pt>
                <c:pt idx="59">
                  <c:v>21.5</c:v>
                </c:pt>
                <c:pt idx="60">
                  <c:v>15.125</c:v>
                </c:pt>
                <c:pt idx="61">
                  <c:v>21.274999999999999</c:v>
                </c:pt>
              </c:numCache>
            </c:numRef>
          </c:yVal>
          <c:smooth val="0"/>
        </c:ser>
        <c:dLbls>
          <c:showLegendKey val="0"/>
          <c:showVal val="0"/>
          <c:showCatName val="0"/>
          <c:showSerName val="0"/>
          <c:showPercent val="0"/>
          <c:showBubbleSize val="0"/>
        </c:dLbls>
        <c:axId val="151670144"/>
        <c:axId val="151670720"/>
      </c:scatterChart>
      <c:valAx>
        <c:axId val="151670144"/>
        <c:scaling>
          <c:orientation val="minMax"/>
        </c:scaling>
        <c:delete val="0"/>
        <c:axPos val="b"/>
        <c:title>
          <c:tx>
            <c:rich>
              <a:bodyPr/>
              <a:lstStyle/>
              <a:p>
                <a:pPr>
                  <a:defRPr/>
                </a:pPr>
                <a:r>
                  <a:rPr lang="en-GB"/>
                  <a:t>Welfare Spend per Capita,</a:t>
                </a:r>
                <a:r>
                  <a:rPr lang="en-GB" baseline="0"/>
                  <a:t> 2014 (£)</a:t>
                </a:r>
                <a:endParaRPr lang="en-GB"/>
              </a:p>
            </c:rich>
          </c:tx>
          <c:layout/>
          <c:overlay val="0"/>
        </c:title>
        <c:numFmt formatCode="#,##0" sourceLinked="1"/>
        <c:majorTickMark val="out"/>
        <c:minorTickMark val="none"/>
        <c:tickLblPos val="nextTo"/>
        <c:crossAx val="151670720"/>
        <c:crosses val="autoZero"/>
        <c:crossBetween val="midCat"/>
      </c:valAx>
      <c:valAx>
        <c:axId val="151670720"/>
        <c:scaling>
          <c:orientation val="minMax"/>
        </c:scaling>
        <c:delete val="0"/>
        <c:axPos val="l"/>
        <c:title>
          <c:tx>
            <c:rich>
              <a:bodyPr rot="-5400000" vert="horz"/>
              <a:lstStyle/>
              <a:p>
                <a:pPr>
                  <a:defRPr/>
                </a:pPr>
                <a:r>
                  <a:rPr lang="en-GB"/>
                  <a:t>Share of working age population that is economically inactive, 2017</a:t>
                </a:r>
                <a:r>
                  <a:rPr lang="en-GB" baseline="0"/>
                  <a:t> (%)</a:t>
                </a:r>
                <a:endParaRPr lang="en-GB"/>
              </a:p>
            </c:rich>
          </c:tx>
          <c:layout/>
          <c:overlay val="0"/>
        </c:title>
        <c:numFmt formatCode="0.0" sourceLinked="1"/>
        <c:majorTickMark val="out"/>
        <c:minorTickMark val="none"/>
        <c:tickLblPos val="nextTo"/>
        <c:crossAx val="151670144"/>
        <c:crosses val="autoZero"/>
        <c:crossBetween val="midCat"/>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layout/>
              <c:tx>
                <c:strRef>
                  <c:f>Age!$A$2</c:f>
                  <c:strCache>
                    <c:ptCount val="1"/>
                    <c:pt idx="0">
                      <c:v>Aberdeen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
              <c:delete val="1"/>
            </c:dLbl>
            <c:dLbl>
              <c:idx val="2"/>
              <c:layout/>
              <c:tx>
                <c:strRef>
                  <c:f>Age!$A$4</c:f>
                  <c:strCache>
                    <c:ptCount val="1"/>
                    <c:pt idx="0">
                      <c:v>Barnsley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
              <c:tx>
                <c:strRef>
                  <c:f>Age!$A$5</c:f>
                  <c:strCache>
                    <c:ptCount val="1"/>
                    <c:pt idx="0">
                      <c:v>Basildon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
              <c:delete val="1"/>
            </c:dLbl>
            <c:dLbl>
              <c:idx val="5"/>
              <c:delete val="1"/>
            </c:dLbl>
            <c:dLbl>
              <c:idx val="6"/>
              <c:delete val="1"/>
            </c:dLbl>
            <c:dLbl>
              <c:idx val="7"/>
              <c:delete val="1"/>
            </c:dLbl>
            <c:dLbl>
              <c:idx val="8"/>
              <c:delete val="1"/>
            </c:dLbl>
            <c:dLbl>
              <c:idx val="9"/>
              <c:delete val="1"/>
            </c:dLbl>
            <c:dLbl>
              <c:idx val="10"/>
              <c:delete val="1"/>
            </c:dLbl>
            <c:dLbl>
              <c:idx val="11"/>
              <c:layout/>
              <c:tx>
                <c:strRef>
                  <c:f>Age!$A$13</c:f>
                  <c:strCache>
                    <c:ptCount val="1"/>
                    <c:pt idx="0">
                      <c:v>Bristol</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2"/>
              <c:delete val="1"/>
            </c:dLbl>
            <c:dLbl>
              <c:idx val="13"/>
              <c:delete val="1"/>
            </c:dLbl>
            <c:dLbl>
              <c:idx val="14"/>
              <c:delete val="1"/>
            </c:dLbl>
            <c:dLbl>
              <c:idx val="15"/>
              <c:layout/>
              <c:tx>
                <c:strRef>
                  <c:f>Age!$A$17</c:f>
                  <c:strCache>
                    <c:ptCount val="1"/>
                    <c:pt idx="0">
                      <c:v>Chatham</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6"/>
              <c:delete val="1"/>
            </c:dLbl>
            <c:dLbl>
              <c:idx val="17"/>
              <c:tx>
                <c:strRef>
                  <c:f>Age!$A$19</c:f>
                  <c:strCache>
                    <c:ptCount val="1"/>
                    <c:pt idx="0">
                      <c:v>Crawley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8"/>
              <c:delete val="1"/>
            </c:dLbl>
            <c:dLbl>
              <c:idx val="19"/>
              <c:delete val="1"/>
            </c:dLbl>
            <c:dLbl>
              <c:idx val="20"/>
              <c:layout/>
              <c:tx>
                <c:strRef>
                  <c:f>Age!$A$22</c:f>
                  <c:strCache>
                    <c:ptCount val="1"/>
                    <c:pt idx="0">
                      <c:v>Dundee</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1"/>
              <c:delete val="1"/>
            </c:dLbl>
            <c:dLbl>
              <c:idx val="22"/>
              <c:delete val="1"/>
            </c:dLbl>
            <c:dLbl>
              <c:idx val="23"/>
              <c:delete val="1"/>
            </c:dLbl>
            <c:dLbl>
              <c:idx val="24"/>
              <c:delete val="1"/>
            </c:dLbl>
            <c:dLbl>
              <c:idx val="25"/>
              <c:delete val="1"/>
            </c:dLbl>
            <c:dLbl>
              <c:idx val="26"/>
              <c:delete val="1"/>
            </c:dLbl>
            <c:dLbl>
              <c:idx val="27"/>
              <c:delete val="1"/>
            </c:dLbl>
            <c:dLbl>
              <c:idx val="28"/>
              <c:delete val="1"/>
            </c:dLbl>
            <c:dLbl>
              <c:idx val="29"/>
              <c:delete val="1"/>
            </c:dLbl>
            <c:dLbl>
              <c:idx val="30"/>
              <c:delete val="1"/>
            </c:dLbl>
            <c:dLbl>
              <c:idx val="31"/>
              <c:layout/>
              <c:tx>
                <c:strRef>
                  <c:f>Age!$A$33</c:f>
                  <c:strCache>
                    <c:ptCount val="1"/>
                    <c:pt idx="0">
                      <c:v>London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2"/>
              <c:delete val="1"/>
            </c:dLbl>
            <c:dLbl>
              <c:idx val="33"/>
              <c:delete val="1"/>
            </c:dLbl>
            <c:dLbl>
              <c:idx val="34"/>
              <c:layout/>
              <c:tx>
                <c:strRef>
                  <c:f>Age!$A$36</c:f>
                  <c:strCache>
                    <c:ptCount val="1"/>
                    <c:pt idx="0">
                      <c:v>Mansfield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5"/>
              <c:delete val="1"/>
            </c:dLbl>
            <c:dLbl>
              <c:idx val="36"/>
              <c:layout/>
              <c:tx>
                <c:strRef>
                  <c:f>Age!$A$38</c:f>
                  <c:strCache>
                    <c:ptCount val="1"/>
                    <c:pt idx="0">
                      <c:v>Milton Keynes</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7"/>
              <c:delete val="1"/>
            </c:dLbl>
            <c:dLbl>
              <c:idx val="38"/>
              <c:delete val="1"/>
            </c:dLbl>
            <c:dLbl>
              <c:idx val="39"/>
              <c:layout/>
              <c:tx>
                <c:strRef>
                  <c:f>Age!$A$41</c:f>
                  <c:strCache>
                    <c:ptCount val="1"/>
                    <c:pt idx="0">
                      <c:v>Northampton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0"/>
              <c:delete val="1"/>
            </c:dLbl>
            <c:dLbl>
              <c:idx val="41"/>
              <c:delete val="1"/>
            </c:dLbl>
            <c:dLbl>
              <c:idx val="42"/>
              <c:layout/>
              <c:tx>
                <c:strRef>
                  <c:f>Age!$A$44</c:f>
                  <c:strCache>
                    <c:ptCount val="1"/>
                    <c:pt idx="0">
                      <c:v>Oxford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3"/>
              <c:delete val="1"/>
            </c:dLbl>
            <c:dLbl>
              <c:idx val="44"/>
              <c:delete val="1"/>
            </c:dLbl>
            <c:dLbl>
              <c:idx val="45"/>
              <c:layout/>
              <c:tx>
                <c:strRef>
                  <c:f>Age!$A$47</c:f>
                  <c:strCache>
                    <c:ptCount val="1"/>
                    <c:pt idx="0">
                      <c:v>Portsmouth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6"/>
              <c:delete val="1"/>
            </c:dLbl>
            <c:dLbl>
              <c:idx val="47"/>
              <c:delete val="1"/>
            </c:dLbl>
            <c:dLbl>
              <c:idx val="48"/>
              <c:layout/>
              <c:tx>
                <c:strRef>
                  <c:f>Age!$A$50</c:f>
                  <c:strCache>
                    <c:ptCount val="1"/>
                    <c:pt idx="0">
                      <c:v>Sheffield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9"/>
              <c:delete val="1"/>
            </c:dLbl>
            <c:dLbl>
              <c:idx val="50"/>
              <c:delete val="1"/>
            </c:dLbl>
            <c:dLbl>
              <c:idx val="51"/>
              <c:delete val="1"/>
            </c:dLbl>
            <c:dLbl>
              <c:idx val="52"/>
              <c:delete val="1"/>
            </c:dLbl>
            <c:dLbl>
              <c:idx val="53"/>
              <c:delete val="1"/>
            </c:dLbl>
            <c:dLbl>
              <c:idx val="54"/>
              <c:delete val="1"/>
            </c:dLbl>
            <c:dLbl>
              <c:idx val="55"/>
              <c:layout/>
              <c:tx>
                <c:strRef>
                  <c:f>Age!$A$57</c:f>
                  <c:strCache>
                    <c:ptCount val="1"/>
                    <c:pt idx="0">
                      <c:v>Swindon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6"/>
              <c:layout/>
              <c:tx>
                <c:strRef>
                  <c:f>Age!$A$58</c:f>
                  <c:strCache>
                    <c:ptCount val="1"/>
                    <c:pt idx="0">
                      <c:v>Telford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7"/>
              <c:delete val="1"/>
            </c:dLbl>
            <c:dLbl>
              <c:idx val="58"/>
              <c:delete val="1"/>
            </c:dLbl>
            <c:dLbl>
              <c:idx val="59"/>
              <c:delete val="1"/>
            </c:dLbl>
            <c:dLbl>
              <c:idx val="60"/>
              <c:layout/>
              <c:tx>
                <c:strRef>
                  <c:f>Age!$A$62</c:f>
                  <c:strCache>
                    <c:ptCount val="1"/>
                    <c:pt idx="0">
                      <c:v>Worthing</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61"/>
              <c:layout/>
              <c:tx>
                <c:strRef>
                  <c:f>Age!$A$63</c:f>
                  <c:strCache>
                    <c:ptCount val="1"/>
                    <c:pt idx="0">
                      <c:v>York</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showLegendKey val="0"/>
            <c:showVal val="1"/>
            <c:showCatName val="0"/>
            <c:showSerName val="0"/>
            <c:showPercent val="0"/>
            <c:showBubbleSize val="0"/>
            <c:showLeaderLines val="0"/>
          </c:dLbls>
          <c:xVal>
            <c:numRef>
              <c:f>Age!$G$2:$G$63</c:f>
              <c:numCache>
                <c:formatCode>0.0</c:formatCode>
                <c:ptCount val="62"/>
                <c:pt idx="0">
                  <c:v>19.817358008798827</c:v>
                </c:pt>
                <c:pt idx="1">
                  <c:v>-18.487486304169401</c:v>
                </c:pt>
                <c:pt idx="2">
                  <c:v>-76.673769897798309</c:v>
                </c:pt>
                <c:pt idx="4">
                  <c:v>-72.647791017812153</c:v>
                </c:pt>
                <c:pt idx="5">
                  <c:v>-82.451581924067114</c:v>
                </c:pt>
                <c:pt idx="6">
                  <c:v>-78.679147944257537</c:v>
                </c:pt>
                <c:pt idx="7">
                  <c:v>-15.929721748881596</c:v>
                </c:pt>
                <c:pt idx="8">
                  <c:v>3.9716465654746393</c:v>
                </c:pt>
                <c:pt idx="9">
                  <c:v>-79.845177279980433</c:v>
                </c:pt>
                <c:pt idx="10">
                  <c:v>-71.48353287018783</c:v>
                </c:pt>
                <c:pt idx="11">
                  <c:v>-70.661546626146929</c:v>
                </c:pt>
                <c:pt idx="12">
                  <c:v>-78.430471787352047</c:v>
                </c:pt>
                <c:pt idx="13">
                  <c:v>-55.415911499298332</c:v>
                </c:pt>
                <c:pt idx="14">
                  <c:v>-76.264224228788919</c:v>
                </c:pt>
                <c:pt idx="15">
                  <c:v>-63.702094990718095</c:v>
                </c:pt>
                <c:pt idx="16">
                  <c:v>-82.902751444854857</c:v>
                </c:pt>
                <c:pt idx="18">
                  <c:v>-66.450247209994842</c:v>
                </c:pt>
                <c:pt idx="19">
                  <c:v>-78.620800527496414</c:v>
                </c:pt>
                <c:pt idx="20">
                  <c:v>-87.275080350232287</c:v>
                </c:pt>
                <c:pt idx="21">
                  <c:v>-84.162380298237963</c:v>
                </c:pt>
                <c:pt idx="22">
                  <c:v>-50.589827125068929</c:v>
                </c:pt>
                <c:pt idx="23">
                  <c:v>-88.390986179386559</c:v>
                </c:pt>
                <c:pt idx="24">
                  <c:v>-53.322112756955576</c:v>
                </c:pt>
                <c:pt idx="25">
                  <c:v>-73.709178003471933</c:v>
                </c:pt>
                <c:pt idx="26">
                  <c:v>-61.235789484104764</c:v>
                </c:pt>
                <c:pt idx="27">
                  <c:v>-79.339564905159833</c:v>
                </c:pt>
                <c:pt idx="28">
                  <c:v>-80.851139499525942</c:v>
                </c:pt>
                <c:pt idx="29">
                  <c:v>-69.961202074829856</c:v>
                </c:pt>
                <c:pt idx="30">
                  <c:v>-84.753084295510135</c:v>
                </c:pt>
                <c:pt idx="31">
                  <c:v>-88.143484459431363</c:v>
                </c:pt>
                <c:pt idx="32">
                  <c:v>-74.639363216605688</c:v>
                </c:pt>
                <c:pt idx="33">
                  <c:v>-85.456472842021611</c:v>
                </c:pt>
                <c:pt idx="34">
                  <c:v>-64.615243272364467</c:v>
                </c:pt>
                <c:pt idx="35">
                  <c:v>-78.924809066601824</c:v>
                </c:pt>
                <c:pt idx="36">
                  <c:v>56.26379622745938</c:v>
                </c:pt>
                <c:pt idx="37">
                  <c:v>-81.97538572342188</c:v>
                </c:pt>
                <c:pt idx="38">
                  <c:v>-65.179943378461473</c:v>
                </c:pt>
                <c:pt idx="39">
                  <c:v>-61.518188510597902</c:v>
                </c:pt>
                <c:pt idx="40">
                  <c:v>-62.087748325097813</c:v>
                </c:pt>
                <c:pt idx="41">
                  <c:v>-78.236739365466946</c:v>
                </c:pt>
                <c:pt idx="42">
                  <c:v>-76.265505145070478</c:v>
                </c:pt>
                <c:pt idx="43">
                  <c:v>-37.034695172081108</c:v>
                </c:pt>
                <c:pt idx="44">
                  <c:v>-60.406789008182024</c:v>
                </c:pt>
                <c:pt idx="45">
                  <c:v>-30.530160818504797</c:v>
                </c:pt>
                <c:pt idx="46">
                  <c:v>-78.874922661538989</c:v>
                </c:pt>
                <c:pt idx="47">
                  <c:v>-55.958373993109149</c:v>
                </c:pt>
                <c:pt idx="48">
                  <c:v>-81.062089734638263</c:v>
                </c:pt>
                <c:pt idx="49">
                  <c:v>-64.99709524683243</c:v>
                </c:pt>
                <c:pt idx="50">
                  <c:v>-60.411337043967229</c:v>
                </c:pt>
                <c:pt idx="51">
                  <c:v>-36.649936822609817</c:v>
                </c:pt>
                <c:pt idx="52">
                  <c:v>-82.287647713921643</c:v>
                </c:pt>
                <c:pt idx="53">
                  <c:v>-70.661873462047893</c:v>
                </c:pt>
                <c:pt idx="54">
                  <c:v>-79.814350398062743</c:v>
                </c:pt>
                <c:pt idx="55">
                  <c:v>-31.771868502862709</c:v>
                </c:pt>
                <c:pt idx="56">
                  <c:v>24.440143079006706</c:v>
                </c:pt>
                <c:pt idx="57">
                  <c:v>-75.429884349372884</c:v>
                </c:pt>
                <c:pt idx="58">
                  <c:v>-78.038195148662837</c:v>
                </c:pt>
                <c:pt idx="59">
                  <c:v>-80.52412574319753</c:v>
                </c:pt>
                <c:pt idx="60">
                  <c:v>74.33968415349878</c:v>
                </c:pt>
                <c:pt idx="61">
                  <c:v>-74.862713987191455</c:v>
                </c:pt>
              </c:numCache>
            </c:numRef>
          </c:xVal>
          <c:yVal>
            <c:numRef>
              <c:f>Age!$J$2:$J$63</c:f>
              <c:numCache>
                <c:formatCode>0.0</c:formatCode>
                <c:ptCount val="62"/>
                <c:pt idx="0">
                  <c:v>24.5</c:v>
                </c:pt>
                <c:pt idx="1">
                  <c:v>32.049999999999997</c:v>
                </c:pt>
                <c:pt idx="2">
                  <c:v>36.099999999999994</c:v>
                </c:pt>
                <c:pt idx="3">
                  <c:v>24.700000000000003</c:v>
                </c:pt>
                <c:pt idx="4">
                  <c:v>34.449999999999996</c:v>
                </c:pt>
                <c:pt idx="5">
                  <c:v>29.725000000000001</c:v>
                </c:pt>
                <c:pt idx="6">
                  <c:v>36.174999999999997</c:v>
                </c:pt>
                <c:pt idx="7">
                  <c:v>26.425000000000004</c:v>
                </c:pt>
                <c:pt idx="8">
                  <c:v>24.625</c:v>
                </c:pt>
                <c:pt idx="9">
                  <c:v>25.675000000000001</c:v>
                </c:pt>
                <c:pt idx="10">
                  <c:v>29.15</c:v>
                </c:pt>
                <c:pt idx="11">
                  <c:v>22.774999999999999</c:v>
                </c:pt>
                <c:pt idx="12">
                  <c:v>24.875</c:v>
                </c:pt>
                <c:pt idx="13">
                  <c:v>21.15</c:v>
                </c:pt>
                <c:pt idx="14">
                  <c:v>29.450000000000003</c:v>
                </c:pt>
                <c:pt idx="15">
                  <c:v>24.8</c:v>
                </c:pt>
                <c:pt idx="16">
                  <c:v>26.775000000000002</c:v>
                </c:pt>
                <c:pt idx="17">
                  <c:v>15.175000000000001</c:v>
                </c:pt>
                <c:pt idx="18">
                  <c:v>27.099999999999998</c:v>
                </c:pt>
                <c:pt idx="19">
                  <c:v>26.625</c:v>
                </c:pt>
                <c:pt idx="20">
                  <c:v>38.849999999999994</c:v>
                </c:pt>
                <c:pt idx="21">
                  <c:v>32.450000000000003</c:v>
                </c:pt>
                <c:pt idx="22">
                  <c:v>23.6</c:v>
                </c:pt>
                <c:pt idx="23">
                  <c:v>29.150000000000002</c:v>
                </c:pt>
                <c:pt idx="24">
                  <c:v>20.925000000000001</c:v>
                </c:pt>
                <c:pt idx="25">
                  <c:v>30.05</c:v>
                </c:pt>
                <c:pt idx="26">
                  <c:v>29.625</c:v>
                </c:pt>
                <c:pt idx="27">
                  <c:v>26.25</c:v>
                </c:pt>
                <c:pt idx="28">
                  <c:v>25.75</c:v>
                </c:pt>
                <c:pt idx="29">
                  <c:v>26.625</c:v>
                </c:pt>
                <c:pt idx="30">
                  <c:v>35.674999999999997</c:v>
                </c:pt>
                <c:pt idx="31">
                  <c:v>25.75</c:v>
                </c:pt>
                <c:pt idx="32">
                  <c:v>28.525000000000002</c:v>
                </c:pt>
                <c:pt idx="33">
                  <c:v>31.3</c:v>
                </c:pt>
                <c:pt idx="34">
                  <c:v>34.125</c:v>
                </c:pt>
                <c:pt idx="35">
                  <c:v>32.85</c:v>
                </c:pt>
                <c:pt idx="36">
                  <c:v>22.824999999999999</c:v>
                </c:pt>
                <c:pt idx="37">
                  <c:v>29.549999999999997</c:v>
                </c:pt>
                <c:pt idx="38">
                  <c:v>32.150000000000006</c:v>
                </c:pt>
                <c:pt idx="39">
                  <c:v>17.850000000000001</c:v>
                </c:pt>
                <c:pt idx="40">
                  <c:v>26.275000000000002</c:v>
                </c:pt>
                <c:pt idx="41">
                  <c:v>30</c:v>
                </c:pt>
                <c:pt idx="42">
                  <c:v>15.450000000000001</c:v>
                </c:pt>
                <c:pt idx="43">
                  <c:v>22.974999999999998</c:v>
                </c:pt>
                <c:pt idx="44">
                  <c:v>22.924999999999997</c:v>
                </c:pt>
                <c:pt idx="45">
                  <c:v>29.2</c:v>
                </c:pt>
                <c:pt idx="46">
                  <c:v>26</c:v>
                </c:pt>
                <c:pt idx="47">
                  <c:v>23.85</c:v>
                </c:pt>
                <c:pt idx="48">
                  <c:v>30.099999999999998</c:v>
                </c:pt>
                <c:pt idx="49">
                  <c:v>25.85</c:v>
                </c:pt>
                <c:pt idx="50">
                  <c:v>21.8</c:v>
                </c:pt>
                <c:pt idx="51">
                  <c:v>26.200000000000003</c:v>
                </c:pt>
                <c:pt idx="52">
                  <c:v>29.824999999999999</c:v>
                </c:pt>
                <c:pt idx="53">
                  <c:v>36.25</c:v>
                </c:pt>
                <c:pt idx="54">
                  <c:v>30.524999999999999</c:v>
                </c:pt>
                <c:pt idx="55">
                  <c:v>20.6</c:v>
                </c:pt>
                <c:pt idx="56">
                  <c:v>26.9</c:v>
                </c:pt>
                <c:pt idx="57">
                  <c:v>31.5</c:v>
                </c:pt>
                <c:pt idx="58">
                  <c:v>30.324999999999999</c:v>
                </c:pt>
                <c:pt idx="59">
                  <c:v>27.774999999999999</c:v>
                </c:pt>
                <c:pt idx="60">
                  <c:v>27.6</c:v>
                </c:pt>
                <c:pt idx="61">
                  <c:v>26.8</c:v>
                </c:pt>
              </c:numCache>
            </c:numRef>
          </c:yVal>
          <c:smooth val="0"/>
        </c:ser>
        <c:dLbls>
          <c:showLegendKey val="0"/>
          <c:showVal val="0"/>
          <c:showCatName val="0"/>
          <c:showSerName val="0"/>
          <c:showPercent val="0"/>
          <c:showBubbleSize val="0"/>
        </c:dLbls>
        <c:axId val="113704256"/>
        <c:axId val="132120576"/>
      </c:scatterChart>
      <c:valAx>
        <c:axId val="113704256"/>
        <c:scaling>
          <c:orientation val="minMax"/>
        </c:scaling>
        <c:delete val="0"/>
        <c:axPos val="b"/>
        <c:title>
          <c:tx>
            <c:rich>
              <a:bodyPr/>
              <a:lstStyle/>
              <a:p>
                <a:pPr>
                  <a:defRPr/>
                </a:pPr>
                <a:r>
                  <a:rPr lang="en-GB"/>
                  <a:t>Growth</a:t>
                </a:r>
                <a:r>
                  <a:rPr lang="en-GB" baseline="0"/>
                  <a:t> in mining and manufacturing jobs, 1951-2011 (%)</a:t>
                </a:r>
                <a:endParaRPr lang="en-GB"/>
              </a:p>
            </c:rich>
          </c:tx>
          <c:layout/>
          <c:overlay val="0"/>
        </c:title>
        <c:numFmt formatCode="0.0" sourceLinked="1"/>
        <c:majorTickMark val="out"/>
        <c:minorTickMark val="none"/>
        <c:tickLblPos val="nextTo"/>
        <c:crossAx val="132120576"/>
        <c:crosses val="autoZero"/>
        <c:crossBetween val="midCat"/>
      </c:valAx>
      <c:valAx>
        <c:axId val="132120576"/>
        <c:scaling>
          <c:orientation val="minMax"/>
        </c:scaling>
        <c:delete val="0"/>
        <c:axPos val="l"/>
        <c:title>
          <c:tx>
            <c:rich>
              <a:bodyPr rot="-5400000" vert="horz"/>
              <a:lstStyle/>
              <a:p>
                <a:pPr>
                  <a:defRPr/>
                </a:pPr>
                <a:r>
                  <a:rPr lang="en-GB"/>
                  <a:t>Share</a:t>
                </a:r>
                <a:r>
                  <a:rPr lang="en-GB" baseline="0"/>
                  <a:t> of 50-64 years old that are economic inactive, 2017  (%)</a:t>
                </a:r>
                <a:endParaRPr lang="en-GB"/>
              </a:p>
            </c:rich>
          </c:tx>
          <c:layout/>
          <c:overlay val="0"/>
        </c:title>
        <c:numFmt formatCode="0.0" sourceLinked="1"/>
        <c:majorTickMark val="out"/>
        <c:minorTickMark val="none"/>
        <c:tickLblPos val="nextTo"/>
        <c:crossAx val="113704256"/>
        <c:crosses val="autoZero"/>
        <c:crossBetween val="midCat"/>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a:lstStyle/>
          <a:p>
            <a:pPr>
              <a:defRPr/>
            </a:pPr>
            <a:r>
              <a:rPr lang="en-GB"/>
              <a:t>Working age population </a:t>
            </a:r>
          </a:p>
          <a:p>
            <a:pPr>
              <a:defRPr/>
            </a:pPr>
            <a:r>
              <a:rPr lang="en-GB"/>
              <a:t>by qualification</a:t>
            </a:r>
          </a:p>
        </c:rich>
      </c:tx>
      <c:layout>
        <c:manualLayout>
          <c:xMode val="edge"/>
          <c:yMode val="edge"/>
          <c:x val="3.1506999125109361E-2"/>
          <c:y val="3.7037037037037035E-2"/>
        </c:manualLayout>
      </c:layout>
      <c:overlay val="0"/>
    </c:title>
    <c:autoTitleDeleted val="0"/>
    <c:plotArea>
      <c:layout/>
      <c:pieChart>
        <c:varyColors val="1"/>
        <c:ser>
          <c:idx val="0"/>
          <c:order val="0"/>
          <c:dPt>
            <c:idx val="0"/>
            <c:bubble3D val="0"/>
            <c:spPr>
              <a:solidFill>
                <a:schemeClr val="accent3">
                  <a:lumMod val="75000"/>
                </a:schemeClr>
              </a:solidFill>
            </c:spPr>
          </c:dPt>
          <c:dPt>
            <c:idx val="1"/>
            <c:bubble3D val="0"/>
            <c:spPr>
              <a:solidFill>
                <a:schemeClr val="accent3"/>
              </a:solidFill>
            </c:spPr>
          </c:dPt>
          <c:dPt>
            <c:idx val="2"/>
            <c:bubble3D val="0"/>
            <c:spPr>
              <a:solidFill>
                <a:schemeClr val="accent5"/>
              </a:solidFill>
            </c:spPr>
          </c:dPt>
          <c:dPt>
            <c:idx val="3"/>
            <c:bubble3D val="0"/>
            <c:spPr>
              <a:solidFill>
                <a:schemeClr val="accent5">
                  <a:lumMod val="60000"/>
                  <a:lumOff val="40000"/>
                </a:schemeClr>
              </a:solidFill>
            </c:spPr>
          </c:dPt>
          <c:dPt>
            <c:idx val="4"/>
            <c:bubble3D val="0"/>
            <c:spPr>
              <a:solidFill>
                <a:schemeClr val="accent6"/>
              </a:solidFill>
            </c:spPr>
          </c:dPt>
          <c:dPt>
            <c:idx val="5"/>
            <c:bubble3D val="0"/>
            <c:spPr>
              <a:solidFill>
                <a:schemeClr val="accent4"/>
              </a:solidFill>
            </c:spPr>
          </c:dPt>
          <c:dLbls>
            <c:txPr>
              <a:bodyPr/>
              <a:lstStyle/>
              <a:p>
                <a:pPr>
                  <a:defRPr b="1"/>
                </a:pPr>
                <a:endParaRPr lang="en-US"/>
              </a:p>
            </c:txPr>
            <c:showLegendKey val="0"/>
            <c:showVal val="0"/>
            <c:showCatName val="0"/>
            <c:showSerName val="0"/>
            <c:showPercent val="1"/>
            <c:showBubbleSize val="0"/>
            <c:showLeaderLines val="1"/>
          </c:dLbls>
          <c:cat>
            <c:strRef>
              <c:f>'Activity by qual'!$C$9:$H$9</c:f>
              <c:strCache>
                <c:ptCount val="6"/>
                <c:pt idx="0">
                  <c:v>No qualifications</c:v>
                </c:pt>
                <c:pt idx="1">
                  <c:v>Level 1 qualifications</c:v>
                </c:pt>
                <c:pt idx="2">
                  <c:v>Level 2 qualifications</c:v>
                </c:pt>
                <c:pt idx="3">
                  <c:v>Level 3 qualifications</c:v>
                </c:pt>
                <c:pt idx="4">
                  <c:v>Level 4 qualifications and above</c:v>
                </c:pt>
                <c:pt idx="5">
                  <c:v>Apprenticeships and other qualifications</c:v>
                </c:pt>
              </c:strCache>
            </c:strRef>
          </c:cat>
          <c:val>
            <c:numRef>
              <c:f>'Activity by qual'!$C$10:$H$10</c:f>
              <c:numCache>
                <c:formatCode>#,##0</c:formatCode>
                <c:ptCount val="6"/>
                <c:pt idx="0">
                  <c:v>5426825</c:v>
                </c:pt>
                <c:pt idx="1">
                  <c:v>5500712</c:v>
                </c:pt>
                <c:pt idx="2">
                  <c:v>6223815</c:v>
                </c:pt>
                <c:pt idx="3">
                  <c:v>5251528</c:v>
                </c:pt>
                <c:pt idx="4">
                  <c:v>10761780</c:v>
                </c:pt>
                <c:pt idx="5">
                  <c:v>3109047</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67003652668416447"/>
          <c:y val="0.18564523184601922"/>
          <c:w val="0.31329680664916887"/>
          <c:h val="0.75810731991834357"/>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a:lstStyle/>
          <a:p>
            <a:pPr>
              <a:defRPr/>
            </a:pPr>
            <a:r>
              <a:rPr lang="en-GB"/>
              <a:t>WAP economically</a:t>
            </a:r>
            <a:r>
              <a:rPr lang="en-GB" baseline="0"/>
              <a:t> inactive </a:t>
            </a:r>
            <a:r>
              <a:rPr lang="en-GB"/>
              <a:t>by qualification</a:t>
            </a:r>
          </a:p>
        </c:rich>
      </c:tx>
      <c:layout>
        <c:manualLayout>
          <c:xMode val="edge"/>
          <c:yMode val="edge"/>
          <c:x val="0.10684711286089241"/>
          <c:y val="2.7777777777777776E-2"/>
        </c:manualLayout>
      </c:layout>
      <c:overlay val="0"/>
    </c:title>
    <c:autoTitleDeleted val="0"/>
    <c:plotArea>
      <c:layout/>
      <c:pieChart>
        <c:varyColors val="1"/>
        <c:ser>
          <c:idx val="0"/>
          <c:order val="0"/>
          <c:dPt>
            <c:idx val="0"/>
            <c:bubble3D val="0"/>
            <c:spPr>
              <a:solidFill>
                <a:schemeClr val="accent3">
                  <a:lumMod val="75000"/>
                </a:schemeClr>
              </a:solidFill>
            </c:spPr>
          </c:dPt>
          <c:dPt>
            <c:idx val="1"/>
            <c:bubble3D val="0"/>
            <c:spPr>
              <a:solidFill>
                <a:schemeClr val="accent3"/>
              </a:solidFill>
            </c:spPr>
          </c:dPt>
          <c:dPt>
            <c:idx val="2"/>
            <c:bubble3D val="0"/>
            <c:spPr>
              <a:solidFill>
                <a:schemeClr val="accent5"/>
              </a:solidFill>
            </c:spPr>
          </c:dPt>
          <c:dPt>
            <c:idx val="3"/>
            <c:bubble3D val="0"/>
            <c:spPr>
              <a:solidFill>
                <a:schemeClr val="accent5">
                  <a:lumMod val="60000"/>
                  <a:lumOff val="40000"/>
                </a:schemeClr>
              </a:solidFill>
            </c:spPr>
          </c:dPt>
          <c:dPt>
            <c:idx val="4"/>
            <c:bubble3D val="0"/>
            <c:spPr>
              <a:solidFill>
                <a:schemeClr val="accent6"/>
              </a:solidFill>
            </c:spPr>
          </c:dPt>
          <c:dPt>
            <c:idx val="5"/>
            <c:bubble3D val="0"/>
            <c:spPr>
              <a:solidFill>
                <a:schemeClr val="accent4"/>
              </a:solidFill>
            </c:spPr>
          </c:dPt>
          <c:dLbls>
            <c:txPr>
              <a:bodyPr/>
              <a:lstStyle/>
              <a:p>
                <a:pPr>
                  <a:defRPr b="1"/>
                </a:pPr>
                <a:endParaRPr lang="en-US"/>
              </a:p>
            </c:txPr>
            <c:showLegendKey val="0"/>
            <c:showVal val="0"/>
            <c:showCatName val="0"/>
            <c:showSerName val="0"/>
            <c:showPercent val="1"/>
            <c:showBubbleSize val="0"/>
            <c:showLeaderLines val="1"/>
          </c:dLbls>
          <c:cat>
            <c:strRef>
              <c:f>'Activity by qual'!$S$9:$X$9</c:f>
              <c:strCache>
                <c:ptCount val="6"/>
                <c:pt idx="0">
                  <c:v>No qualifications</c:v>
                </c:pt>
                <c:pt idx="1">
                  <c:v>Level 1 qualifications</c:v>
                </c:pt>
                <c:pt idx="2">
                  <c:v>Level 2 qualifications</c:v>
                </c:pt>
                <c:pt idx="3">
                  <c:v>Level 3 qualifications</c:v>
                </c:pt>
                <c:pt idx="4">
                  <c:v>Level 4 qualifications and above</c:v>
                </c:pt>
                <c:pt idx="5">
                  <c:v>Apprenticeships and other qualifications</c:v>
                </c:pt>
              </c:strCache>
            </c:strRef>
          </c:cat>
          <c:val>
            <c:numRef>
              <c:f>'Activity by qual'!$S$10:$X$10</c:f>
              <c:numCache>
                <c:formatCode>#,##0</c:formatCode>
                <c:ptCount val="6"/>
                <c:pt idx="0">
                  <c:v>2538084</c:v>
                </c:pt>
                <c:pt idx="1">
                  <c:v>1341331</c:v>
                </c:pt>
                <c:pt idx="2">
                  <c:v>1415187</c:v>
                </c:pt>
                <c:pt idx="3">
                  <c:v>1112614</c:v>
                </c:pt>
                <c:pt idx="4">
                  <c:v>1349554</c:v>
                </c:pt>
                <c:pt idx="5">
                  <c:v>650701</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6515553368328959"/>
          <c:y val="0.16700422863808689"/>
          <c:w val="0.33177799650043743"/>
          <c:h val="0.7538385826771653"/>
        </c:manualLayout>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layout/>
              <c:tx>
                <c:strRef>
                  <c:f>'Activity by qual'!$A$12</c:f>
                  <c:strCache>
                    <c:ptCount val="1"/>
                    <c:pt idx="0">
                      <c:v>Aldershot</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1"/>
              <c:delete val="1"/>
            </c:dLbl>
            <c:dLbl>
              <c:idx val="2"/>
              <c:delete val="1"/>
            </c:dLbl>
            <c:dLbl>
              <c:idx val="3"/>
              <c:delete val="1"/>
            </c:dLbl>
            <c:dLbl>
              <c:idx val="4"/>
              <c:layout/>
              <c:tx>
                <c:strRef>
                  <c:f>'Activity by qual'!$A$16</c:f>
                  <c:strCache>
                    <c:ptCount val="1"/>
                    <c:pt idx="0">
                      <c:v>Birmingham</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5"/>
              <c:layout/>
              <c:tx>
                <c:strRef>
                  <c:f>'Activity by qual'!$A$17</c:f>
                  <c:strCache>
                    <c:ptCount val="1"/>
                    <c:pt idx="0">
                      <c:v>Blackburn</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6"/>
              <c:delete val="1"/>
            </c:dLbl>
            <c:dLbl>
              <c:idx val="7"/>
              <c:delete val="1"/>
            </c:dLbl>
            <c:dLbl>
              <c:idx val="8"/>
              <c:delete val="1"/>
            </c:dLbl>
            <c:dLbl>
              <c:idx val="9"/>
              <c:delete val="1"/>
            </c:dLbl>
            <c:dLbl>
              <c:idx val="10"/>
              <c:delete val="1"/>
            </c:dLbl>
            <c:dLbl>
              <c:idx val="11"/>
              <c:delete val="1"/>
            </c:dLbl>
            <c:dLbl>
              <c:idx val="12"/>
              <c:delete val="1"/>
            </c:dLbl>
            <c:dLbl>
              <c:idx val="13"/>
              <c:delete val="1"/>
            </c:dLbl>
            <c:dLbl>
              <c:idx val="14"/>
              <c:delete val="1"/>
            </c:dLbl>
            <c:dLbl>
              <c:idx val="15"/>
              <c:delete val="1"/>
            </c:dLbl>
            <c:dLbl>
              <c:idx val="16"/>
              <c:delete val="1"/>
            </c:dLbl>
            <c:dLbl>
              <c:idx val="17"/>
              <c:delete val="1"/>
            </c:dLbl>
            <c:dLbl>
              <c:idx val="18"/>
              <c:delete val="1"/>
            </c:dLbl>
            <c:dLbl>
              <c:idx val="19"/>
              <c:tx>
                <c:strRef>
                  <c:f>'Activity by qual'!$A$31</c:f>
                  <c:strCache>
                    <c:ptCount val="1"/>
                    <c:pt idx="0">
                      <c:v>Dundee</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20"/>
              <c:tx>
                <c:strRef>
                  <c:f>'Activity by qual'!$A$32</c:f>
                  <c:strCache>
                    <c:ptCount val="1"/>
                    <c:pt idx="0">
                      <c:v>Edinburgh</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21"/>
              <c:delete val="1"/>
            </c:dLbl>
            <c:dLbl>
              <c:idx val="22"/>
              <c:tx>
                <c:strRef>
                  <c:f>'Activity by qual'!$A$34</c:f>
                  <c:strCache>
                    <c:ptCount val="1"/>
                    <c:pt idx="0">
                      <c:v>Glasgow</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23"/>
              <c:delete val="1"/>
            </c:dLbl>
            <c:dLbl>
              <c:idx val="24"/>
              <c:delete val="1"/>
            </c:dLbl>
            <c:dLbl>
              <c:idx val="25"/>
              <c:layout/>
              <c:tx>
                <c:strRef>
                  <c:f>'Activity by qual'!$A$37</c:f>
                  <c:strCache>
                    <c:ptCount val="1"/>
                    <c:pt idx="0">
                      <c:v>Hull</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26"/>
              <c:delete val="1"/>
            </c:dLbl>
            <c:dLbl>
              <c:idx val="27"/>
              <c:delete val="1"/>
            </c:dLbl>
            <c:dLbl>
              <c:idx val="28"/>
              <c:delete val="1"/>
            </c:dLbl>
            <c:dLbl>
              <c:idx val="29"/>
              <c:layout/>
              <c:tx>
                <c:strRef>
                  <c:f>'Activity by qual'!$A$41</c:f>
                  <c:strCache>
                    <c:ptCount val="1"/>
                    <c:pt idx="0">
                      <c:v>Liverpool</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30"/>
              <c:layout/>
              <c:tx>
                <c:strRef>
                  <c:f>'Activity by qual'!$A$42</c:f>
                  <c:strCache>
                    <c:ptCount val="1"/>
                    <c:pt idx="0">
                      <c:v>London</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31"/>
              <c:layout/>
              <c:tx>
                <c:strRef>
                  <c:f>'Activity by qual'!$A$43</c:f>
                  <c:strCache>
                    <c:ptCount val="1"/>
                    <c:pt idx="0">
                      <c:v>Luton</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32"/>
              <c:delete val="1"/>
            </c:dLbl>
            <c:dLbl>
              <c:idx val="33"/>
              <c:delete val="1"/>
            </c:dLbl>
            <c:dLbl>
              <c:idx val="34"/>
              <c:delete val="1"/>
            </c:dLbl>
            <c:dLbl>
              <c:idx val="35"/>
              <c:delete val="1"/>
            </c:dLbl>
            <c:dLbl>
              <c:idx val="36"/>
              <c:delete val="1"/>
            </c:dLbl>
            <c:dLbl>
              <c:idx val="37"/>
              <c:delete val="1"/>
            </c:dLbl>
            <c:dLbl>
              <c:idx val="38"/>
              <c:delete val="1"/>
            </c:dLbl>
            <c:dLbl>
              <c:idx val="39"/>
              <c:delete val="1"/>
            </c:dLbl>
            <c:dLbl>
              <c:idx val="40"/>
              <c:delete val="1"/>
            </c:dLbl>
            <c:dLbl>
              <c:idx val="41"/>
              <c:delete val="1"/>
            </c:dLbl>
            <c:dLbl>
              <c:idx val="42"/>
              <c:delete val="1"/>
            </c:dLbl>
            <c:dLbl>
              <c:idx val="43"/>
              <c:delete val="1"/>
            </c:dLbl>
            <c:dLbl>
              <c:idx val="44"/>
              <c:delete val="1"/>
            </c:dLbl>
            <c:dLbl>
              <c:idx val="45"/>
              <c:delete val="1"/>
            </c:dLbl>
            <c:dLbl>
              <c:idx val="46"/>
              <c:layout/>
              <c:tx>
                <c:strRef>
                  <c:f>'Activity by qual'!$A$58</c:f>
                  <c:strCache>
                    <c:ptCount val="1"/>
                    <c:pt idx="0">
                      <c:v>Reading</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47"/>
              <c:delete val="1"/>
            </c:dLbl>
            <c:dLbl>
              <c:idx val="48"/>
              <c:layout/>
              <c:tx>
                <c:strRef>
                  <c:f>'Activity by qual'!$A$60</c:f>
                  <c:strCache>
                    <c:ptCount val="1"/>
                    <c:pt idx="0">
                      <c:v>Slough</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dLbl>
              <c:idx val="49"/>
              <c:delete val="1"/>
            </c:dLbl>
            <c:dLbl>
              <c:idx val="50"/>
              <c:delete val="1"/>
            </c:dLbl>
            <c:dLbl>
              <c:idx val="51"/>
              <c:delete val="1"/>
            </c:dLbl>
            <c:dLbl>
              <c:idx val="52"/>
              <c:delete val="1"/>
            </c:dLbl>
            <c:dLbl>
              <c:idx val="53"/>
              <c:delete val="1"/>
            </c:dLbl>
            <c:dLbl>
              <c:idx val="54"/>
              <c:delete val="1"/>
            </c:dLbl>
            <c:dLbl>
              <c:idx val="55"/>
              <c:delete val="1"/>
            </c:dLbl>
            <c:dLbl>
              <c:idx val="56"/>
              <c:delete val="1"/>
            </c:dLbl>
            <c:dLbl>
              <c:idx val="57"/>
              <c:delete val="1"/>
            </c:dLbl>
            <c:dLbl>
              <c:idx val="58"/>
              <c:delete val="1"/>
            </c:dLbl>
            <c:dLbl>
              <c:idx val="59"/>
              <c:delete val="1"/>
            </c:dLbl>
            <c:dLbl>
              <c:idx val="60"/>
              <c:layout/>
              <c:tx>
                <c:strRef>
                  <c:f>'Activity by qual'!$A$72</c:f>
                  <c:strCache>
                    <c:ptCount val="1"/>
                    <c:pt idx="0">
                      <c:v>York</c:v>
                    </c:pt>
                  </c:strCache>
                </c:strRef>
              </c:tx>
              <c:spPr/>
              <c:txPr>
                <a:bodyPr/>
                <a:lstStyle/>
                <a:p>
                  <a:pPr>
                    <a:defRPr sz="900" b="0" i="0" u="none" strike="noStrike">
                      <a:latin typeface="arial"/>
                    </a:defRPr>
                  </a:pPr>
                  <a:endParaRPr lang="en-US"/>
                </a:p>
              </c:txPr>
              <c:dLblPos val="t"/>
              <c:showLegendKey val="0"/>
              <c:showVal val="1"/>
              <c:showCatName val="0"/>
              <c:showSerName val="0"/>
              <c:showPercent val="0"/>
              <c:showBubbleSize val="0"/>
            </c:dLbl>
            <c:txPr>
              <a:bodyPr/>
              <a:lstStyle/>
              <a:p>
                <a:pPr>
                  <a:defRPr sz="900"/>
                </a:pPr>
                <a:endParaRPr lang="en-US"/>
              </a:p>
            </c:txPr>
            <c:showLegendKey val="0"/>
            <c:showVal val="1"/>
            <c:showCatName val="0"/>
            <c:showSerName val="0"/>
            <c:showPercent val="0"/>
            <c:showBubbleSize val="0"/>
            <c:showLeaderLines val="0"/>
          </c:dLbls>
          <c:xVal>
            <c:numRef>
              <c:f>'Activity by qual'!$Z$12:$Z$72</c:f>
              <c:numCache>
                <c:formatCode>General</c:formatCode>
                <c:ptCount val="61"/>
                <c:pt idx="0">
                  <c:v>61942.58</c:v>
                </c:pt>
                <c:pt idx="1">
                  <c:v>45166.67</c:v>
                </c:pt>
                <c:pt idx="2">
                  <c:v>48928.57</c:v>
                </c:pt>
                <c:pt idx="3">
                  <c:v>45846.89</c:v>
                </c:pt>
                <c:pt idx="4">
                  <c:v>47386.69</c:v>
                </c:pt>
                <c:pt idx="5">
                  <c:v>42360.9</c:v>
                </c:pt>
                <c:pt idx="6">
                  <c:v>47209.760000000002</c:v>
                </c:pt>
                <c:pt idx="7">
                  <c:v>48716.28</c:v>
                </c:pt>
                <c:pt idx="8">
                  <c:v>48532.34</c:v>
                </c:pt>
                <c:pt idx="9">
                  <c:v>52974.84</c:v>
                </c:pt>
                <c:pt idx="10">
                  <c:v>54549.45</c:v>
                </c:pt>
                <c:pt idx="11">
                  <c:v>46771.43</c:v>
                </c:pt>
                <c:pt idx="12">
                  <c:v>49219.51</c:v>
                </c:pt>
                <c:pt idx="13">
                  <c:v>44835.32</c:v>
                </c:pt>
                <c:pt idx="14">
                  <c:v>56314.61</c:v>
                </c:pt>
                <c:pt idx="15">
                  <c:v>50780.95</c:v>
                </c:pt>
                <c:pt idx="16">
                  <c:v>56105.26</c:v>
                </c:pt>
                <c:pt idx="17">
                  <c:v>52437.5</c:v>
                </c:pt>
                <c:pt idx="18">
                  <c:v>41491.94</c:v>
                </c:pt>
                <c:pt idx="19">
                  <c:v>44754.97</c:v>
                </c:pt>
                <c:pt idx="20">
                  <c:v>58481.599999999999</c:v>
                </c:pt>
                <c:pt idx="21">
                  <c:v>41902.17</c:v>
                </c:pt>
                <c:pt idx="22">
                  <c:v>48650.05</c:v>
                </c:pt>
                <c:pt idx="23">
                  <c:v>51612.4</c:v>
                </c:pt>
                <c:pt idx="24">
                  <c:v>45056.25</c:v>
                </c:pt>
                <c:pt idx="25">
                  <c:v>42655.74</c:v>
                </c:pt>
                <c:pt idx="26">
                  <c:v>46239.44</c:v>
                </c:pt>
                <c:pt idx="27">
                  <c:v>48709.75</c:v>
                </c:pt>
                <c:pt idx="28">
                  <c:v>45484.79</c:v>
                </c:pt>
                <c:pt idx="29">
                  <c:v>50079.47</c:v>
                </c:pt>
                <c:pt idx="30">
                  <c:v>74818.92</c:v>
                </c:pt>
                <c:pt idx="31">
                  <c:v>55832.4</c:v>
                </c:pt>
                <c:pt idx="32">
                  <c:v>49023.11</c:v>
                </c:pt>
                <c:pt idx="33">
                  <c:v>41846.99</c:v>
                </c:pt>
                <c:pt idx="34">
                  <c:v>45584.21</c:v>
                </c:pt>
                <c:pt idx="35">
                  <c:v>65689.66</c:v>
                </c:pt>
                <c:pt idx="36">
                  <c:v>44671.57</c:v>
                </c:pt>
                <c:pt idx="37">
                  <c:v>44244.13</c:v>
                </c:pt>
                <c:pt idx="38">
                  <c:v>47393.7</c:v>
                </c:pt>
                <c:pt idx="39">
                  <c:v>44681.32</c:v>
                </c:pt>
                <c:pt idx="40">
                  <c:v>42896.02</c:v>
                </c:pt>
                <c:pt idx="41">
                  <c:v>54147.54</c:v>
                </c:pt>
                <c:pt idx="42">
                  <c:v>46940.639999999999</c:v>
                </c:pt>
                <c:pt idx="43">
                  <c:v>44394.62</c:v>
                </c:pt>
                <c:pt idx="44">
                  <c:v>56891.4</c:v>
                </c:pt>
                <c:pt idx="45">
                  <c:v>44497.21</c:v>
                </c:pt>
                <c:pt idx="46">
                  <c:v>70672.13</c:v>
                </c:pt>
                <c:pt idx="47">
                  <c:v>43535.47</c:v>
                </c:pt>
                <c:pt idx="48">
                  <c:v>82012.5</c:v>
                </c:pt>
                <c:pt idx="49">
                  <c:v>54747.25</c:v>
                </c:pt>
                <c:pt idx="50">
                  <c:v>51917.81</c:v>
                </c:pt>
                <c:pt idx="51">
                  <c:v>43064.62</c:v>
                </c:pt>
                <c:pt idx="52">
                  <c:v>46721.99</c:v>
                </c:pt>
                <c:pt idx="53">
                  <c:v>42208.2</c:v>
                </c:pt>
                <c:pt idx="54">
                  <c:v>57973.57</c:v>
                </c:pt>
                <c:pt idx="55">
                  <c:v>44309.52</c:v>
                </c:pt>
                <c:pt idx="56">
                  <c:v>44834.44</c:v>
                </c:pt>
                <c:pt idx="57">
                  <c:v>49336</c:v>
                </c:pt>
                <c:pt idx="58">
                  <c:v>46254.720000000001</c:v>
                </c:pt>
                <c:pt idx="59">
                  <c:v>56130.43</c:v>
                </c:pt>
                <c:pt idx="60">
                  <c:v>44160.38</c:v>
                </c:pt>
              </c:numCache>
            </c:numRef>
          </c:xVal>
          <c:yVal>
            <c:numRef>
              <c:f>'Activity by qual'!$AA$12:$AA$72</c:f>
              <c:numCache>
                <c:formatCode>0.00</c:formatCode>
                <c:ptCount val="61"/>
                <c:pt idx="0">
                  <c:v>26.855004447716329</c:v>
                </c:pt>
                <c:pt idx="1">
                  <c:v>38.694982133482362</c:v>
                </c:pt>
                <c:pt idx="2">
                  <c:v>31.580889985928163</c:v>
                </c:pt>
                <c:pt idx="3">
                  <c:v>41.415232781280743</c:v>
                </c:pt>
                <c:pt idx="4">
                  <c:v>39.516747097997907</c:v>
                </c:pt>
                <c:pt idx="5">
                  <c:v>44.870775892783733</c:v>
                </c:pt>
                <c:pt idx="6">
                  <c:v>37.926566777422522</c:v>
                </c:pt>
                <c:pt idx="7">
                  <c:v>31.88807694709887</c:v>
                </c:pt>
                <c:pt idx="8">
                  <c:v>40.547546024616224</c:v>
                </c:pt>
                <c:pt idx="9">
                  <c:v>34.844286212402046</c:v>
                </c:pt>
                <c:pt idx="10">
                  <c:v>33.184607702591691</c:v>
                </c:pt>
                <c:pt idx="11">
                  <c:v>41.347870592996408</c:v>
                </c:pt>
                <c:pt idx="12">
                  <c:v>36.411388550548111</c:v>
                </c:pt>
                <c:pt idx="13">
                  <c:v>40.221744114829534</c:v>
                </c:pt>
                <c:pt idx="14">
                  <c:v>32.55636731110117</c:v>
                </c:pt>
                <c:pt idx="15">
                  <c:v>37.006358639589841</c:v>
                </c:pt>
                <c:pt idx="16">
                  <c:v>27.221314565791126</c:v>
                </c:pt>
                <c:pt idx="17">
                  <c:v>37.830471518124831</c:v>
                </c:pt>
                <c:pt idx="18">
                  <c:v>37.668846726672278</c:v>
                </c:pt>
                <c:pt idx="21">
                  <c:v>31.269365071558553</c:v>
                </c:pt>
                <c:pt idx="23">
                  <c:v>30.901718478470748</c:v>
                </c:pt>
                <c:pt idx="24">
                  <c:v>37.184166968112507</c:v>
                </c:pt>
                <c:pt idx="25">
                  <c:v>36.931293302540411</c:v>
                </c:pt>
                <c:pt idx="26">
                  <c:v>31.229036136953358</c:v>
                </c:pt>
                <c:pt idx="27">
                  <c:v>34.985577753851473</c:v>
                </c:pt>
                <c:pt idx="28">
                  <c:v>36.931584479685569</c:v>
                </c:pt>
                <c:pt idx="29">
                  <c:v>43.666920112215202</c:v>
                </c:pt>
                <c:pt idx="30">
                  <c:v>38.654627019451368</c:v>
                </c:pt>
                <c:pt idx="31">
                  <c:v>37.974082366510622</c:v>
                </c:pt>
                <c:pt idx="32">
                  <c:v>39.434590763061713</c:v>
                </c:pt>
                <c:pt idx="33">
                  <c:v>36.136700824621329</c:v>
                </c:pt>
                <c:pt idx="34">
                  <c:v>41.081127600979194</c:v>
                </c:pt>
                <c:pt idx="35">
                  <c:v>29.934004722597834</c:v>
                </c:pt>
                <c:pt idx="36">
                  <c:v>39.340437641940589</c:v>
                </c:pt>
                <c:pt idx="37">
                  <c:v>38.122151321786689</c:v>
                </c:pt>
                <c:pt idx="38">
                  <c:v>30.35694624887147</c:v>
                </c:pt>
                <c:pt idx="39">
                  <c:v>32.871737568840295</c:v>
                </c:pt>
                <c:pt idx="40">
                  <c:v>37.078429215707843</c:v>
                </c:pt>
                <c:pt idx="41">
                  <c:v>37.61467889908257</c:v>
                </c:pt>
                <c:pt idx="42">
                  <c:v>33.80189144157886</c:v>
                </c:pt>
                <c:pt idx="43">
                  <c:v>37.818066157760818</c:v>
                </c:pt>
                <c:pt idx="44">
                  <c:v>32.581577278173235</c:v>
                </c:pt>
                <c:pt idx="45">
                  <c:v>34.955389790843938</c:v>
                </c:pt>
                <c:pt idx="46">
                  <c:v>30.377770171985969</c:v>
                </c:pt>
                <c:pt idx="47">
                  <c:v>37.560888334833898</c:v>
                </c:pt>
                <c:pt idx="48">
                  <c:v>34.469644585811096</c:v>
                </c:pt>
                <c:pt idx="49">
                  <c:v>32.645153657310182</c:v>
                </c:pt>
                <c:pt idx="50">
                  <c:v>31.432145251972969</c:v>
                </c:pt>
                <c:pt idx="51">
                  <c:v>38.390809547906422</c:v>
                </c:pt>
                <c:pt idx="52">
                  <c:v>39.317387410809715</c:v>
                </c:pt>
                <c:pt idx="53">
                  <c:v>43.325435878743697</c:v>
                </c:pt>
                <c:pt idx="54">
                  <c:v>28.239260848622848</c:v>
                </c:pt>
                <c:pt idx="55">
                  <c:v>36.61322322912757</c:v>
                </c:pt>
                <c:pt idx="56">
                  <c:v>35.020046675842259</c:v>
                </c:pt>
                <c:pt idx="57">
                  <c:v>32.992006687215927</c:v>
                </c:pt>
                <c:pt idx="58">
                  <c:v>36.060989055315027</c:v>
                </c:pt>
                <c:pt idx="59">
                  <c:v>31.106696021049242</c:v>
                </c:pt>
                <c:pt idx="60">
                  <c:v>29.348337252267381</c:v>
                </c:pt>
              </c:numCache>
            </c:numRef>
          </c:yVal>
          <c:smooth val="0"/>
        </c:ser>
        <c:dLbls>
          <c:showLegendKey val="0"/>
          <c:showVal val="0"/>
          <c:showCatName val="0"/>
          <c:showSerName val="0"/>
          <c:showPercent val="0"/>
          <c:showBubbleSize val="0"/>
        </c:dLbls>
        <c:axId val="132126912"/>
        <c:axId val="132127488"/>
      </c:scatterChart>
      <c:valAx>
        <c:axId val="132126912"/>
        <c:scaling>
          <c:orientation val="minMax"/>
          <c:min val="30000"/>
        </c:scaling>
        <c:delete val="0"/>
        <c:axPos val="b"/>
        <c:title>
          <c:tx>
            <c:rich>
              <a:bodyPr/>
              <a:lstStyle/>
              <a:p>
                <a:pPr>
                  <a:defRPr/>
                </a:pPr>
                <a:r>
                  <a:rPr lang="en-GB"/>
                  <a:t>GVA per worker, 2015 (£)</a:t>
                </a:r>
              </a:p>
            </c:rich>
          </c:tx>
          <c:layout/>
          <c:overlay val="0"/>
        </c:title>
        <c:numFmt formatCode="#,##0" sourceLinked="0"/>
        <c:majorTickMark val="out"/>
        <c:minorTickMark val="none"/>
        <c:tickLblPos val="nextTo"/>
        <c:crossAx val="132127488"/>
        <c:crosses val="autoZero"/>
        <c:crossBetween val="midCat"/>
      </c:valAx>
      <c:valAx>
        <c:axId val="132127488"/>
        <c:scaling>
          <c:orientation val="minMax"/>
          <c:min val="20"/>
        </c:scaling>
        <c:delete val="0"/>
        <c:axPos val="l"/>
        <c:title>
          <c:tx>
            <c:rich>
              <a:bodyPr rot="-5400000" vert="horz"/>
              <a:lstStyle/>
              <a:p>
                <a:pPr>
                  <a:defRPr/>
                </a:pPr>
                <a:r>
                  <a:rPr lang="en-GB"/>
                  <a:t>Share of low-skilled people aged 16-64yo that are economically inactive, 2011 (%)</a:t>
                </a:r>
              </a:p>
            </c:rich>
          </c:tx>
          <c:layout/>
          <c:overlay val="0"/>
        </c:title>
        <c:numFmt formatCode="0" sourceLinked="0"/>
        <c:majorTickMark val="out"/>
        <c:minorTickMark val="none"/>
        <c:tickLblPos val="nextTo"/>
        <c:crossAx val="132126912"/>
        <c:crosses val="autoZero"/>
        <c:crossBetween val="midCat"/>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Reasons of economic inactivity</a:t>
            </a:r>
          </a:p>
        </c:rich>
      </c:tx>
      <c:layout/>
      <c:overlay val="0"/>
    </c:title>
    <c:autoTitleDeleted val="0"/>
    <c:plotArea>
      <c:layout/>
      <c:pieChart>
        <c:varyColors val="1"/>
        <c:ser>
          <c:idx val="0"/>
          <c:order val="0"/>
          <c:dLbls>
            <c:showLegendKey val="0"/>
            <c:showVal val="0"/>
            <c:showCatName val="0"/>
            <c:showSerName val="0"/>
            <c:showPercent val="1"/>
            <c:showBubbleSize val="0"/>
            <c:showLeaderLines val="1"/>
          </c:dLbls>
          <c:cat>
            <c:strRef>
              <c:f>Reasons!$C$1:$I$1</c:f>
              <c:strCache>
                <c:ptCount val="7"/>
                <c:pt idx="0">
                  <c:v>Inactive - students</c:v>
                </c:pt>
                <c:pt idx="1">
                  <c:v>Inactive - looking after</c:v>
                </c:pt>
                <c:pt idx="2">
                  <c:v>Inactive - temporary sick</c:v>
                </c:pt>
                <c:pt idx="3">
                  <c:v>Inactive - long term sick </c:v>
                </c:pt>
                <c:pt idx="4">
                  <c:v>Inactive - discouraged</c:v>
                </c:pt>
                <c:pt idx="5">
                  <c:v>Inactive - retired</c:v>
                </c:pt>
                <c:pt idx="6">
                  <c:v>Inactive - other</c:v>
                </c:pt>
              </c:strCache>
            </c:strRef>
          </c:cat>
          <c:val>
            <c:numRef>
              <c:f>Reasons!$C$65:$I$65</c:f>
              <c:numCache>
                <c:formatCode>0</c:formatCode>
                <c:ptCount val="7"/>
                <c:pt idx="0">
                  <c:v>2339925</c:v>
                </c:pt>
                <c:pt idx="1">
                  <c:v>2139050</c:v>
                </c:pt>
                <c:pt idx="2">
                  <c:v>175225</c:v>
                </c:pt>
                <c:pt idx="3">
                  <c:v>1923100</c:v>
                </c:pt>
                <c:pt idx="4">
                  <c:v>32400</c:v>
                </c:pt>
                <c:pt idx="5">
                  <c:v>1168325</c:v>
                </c:pt>
                <c:pt idx="6">
                  <c:v>955275</c:v>
                </c:pt>
              </c:numCache>
            </c:numRef>
          </c:val>
        </c:ser>
        <c:dLbls>
          <c:showLegendKey val="0"/>
          <c:showVal val="0"/>
          <c:showCatName val="0"/>
          <c:showSerName val="0"/>
          <c:showPercent val="1"/>
          <c:showBubbleSize val="0"/>
          <c:showLeaderLines val="1"/>
        </c:dLbls>
        <c:firstSliceAng val="0"/>
      </c:pieChart>
    </c:plotArea>
    <c:legend>
      <c:legendPos val="r"/>
      <c:layout/>
      <c:overlay val="0"/>
      <c:txPr>
        <a:bodyPr/>
        <a:lstStyle/>
        <a:p>
          <a:pPr rtl="0">
            <a:defRPr/>
          </a:pPr>
          <a:endParaRPr lang="en-US"/>
        </a:p>
      </c:txPr>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delete val="1"/>
            </c:dLbl>
            <c:dLbl>
              <c:idx val="1"/>
              <c:delete val="1"/>
            </c:dLbl>
            <c:dLbl>
              <c:idx val="2"/>
              <c:delete val="1"/>
            </c:dLbl>
            <c:dLbl>
              <c:idx val="3"/>
              <c:layout/>
              <c:tx>
                <c:strRef>
                  <c:f>Reasons!$A$5</c:f>
                  <c:strCache>
                    <c:ptCount val="1"/>
                    <c:pt idx="0">
                      <c:v>Basildon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
              <c:delete val="1"/>
            </c:dLbl>
            <c:dLbl>
              <c:idx val="5"/>
              <c:layout/>
              <c:tx>
                <c:strRef>
                  <c:f>Reasons!$A$7</c:f>
                  <c:strCache>
                    <c:ptCount val="1"/>
                    <c:pt idx="0">
                      <c:v>Birmingham</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6"/>
              <c:delete val="1"/>
            </c:dLbl>
            <c:dLbl>
              <c:idx val="7"/>
              <c:delete val="1"/>
            </c:dLbl>
            <c:dLbl>
              <c:idx val="8"/>
              <c:delete val="1"/>
            </c:dLbl>
            <c:dLbl>
              <c:idx val="9"/>
              <c:layout/>
              <c:tx>
                <c:strRef>
                  <c:f>Reasons!$A$11</c:f>
                  <c:strCache>
                    <c:ptCount val="1"/>
                    <c:pt idx="0">
                      <c:v>Bradford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0"/>
              <c:delete val="1"/>
            </c:dLbl>
            <c:dLbl>
              <c:idx val="11"/>
              <c:delete val="1"/>
            </c:dLbl>
            <c:dLbl>
              <c:idx val="12"/>
              <c:delete val="1"/>
            </c:dLbl>
            <c:dLbl>
              <c:idx val="13"/>
              <c:delete val="1"/>
            </c:dLbl>
            <c:dLbl>
              <c:idx val="14"/>
              <c:layout/>
              <c:tx>
                <c:strRef>
                  <c:f>Reasons!$A$16</c:f>
                  <c:strCache>
                    <c:ptCount val="1"/>
                    <c:pt idx="0">
                      <c:v>Cardiff</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5"/>
              <c:delete val="1"/>
            </c:dLbl>
            <c:dLbl>
              <c:idx val="16"/>
              <c:delete val="1"/>
            </c:dLbl>
            <c:dLbl>
              <c:idx val="17"/>
              <c:tx>
                <c:strRef>
                  <c:f>Reasons!$A$19</c:f>
                  <c:strCache>
                    <c:ptCount val="1"/>
                    <c:pt idx="0">
                      <c:v>Crawley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8"/>
              <c:layout/>
              <c:tx>
                <c:strRef>
                  <c:f>Reasons!$A$20</c:f>
                  <c:strCache>
                    <c:ptCount val="1"/>
                    <c:pt idx="0">
                      <c:v>Derby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9"/>
              <c:layout/>
              <c:tx>
                <c:strRef>
                  <c:f>Reasons!$A$21</c:f>
                  <c:strCache>
                    <c:ptCount val="1"/>
                    <c:pt idx="0">
                      <c:v>Doncaster</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0"/>
              <c:delete val="1"/>
            </c:dLbl>
            <c:dLbl>
              <c:idx val="21"/>
              <c:delete val="1"/>
            </c:dLbl>
            <c:dLbl>
              <c:idx val="22"/>
              <c:delete val="1"/>
            </c:dLbl>
            <c:dLbl>
              <c:idx val="23"/>
              <c:delete val="1"/>
            </c:dLbl>
            <c:dLbl>
              <c:idx val="24"/>
              <c:delete val="1"/>
            </c:dLbl>
            <c:dLbl>
              <c:idx val="25"/>
              <c:delete val="1"/>
            </c:dLbl>
            <c:dLbl>
              <c:idx val="26"/>
              <c:delete val="1"/>
            </c:dLbl>
            <c:dLbl>
              <c:idx val="27"/>
              <c:layout/>
              <c:tx>
                <c:strRef>
                  <c:f>Reasons!$A$29</c:f>
                  <c:strCache>
                    <c:ptCount val="1"/>
                    <c:pt idx="0">
                      <c:v>Ipswich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8"/>
              <c:delete val="1"/>
            </c:dLbl>
            <c:dLbl>
              <c:idx val="29"/>
              <c:layout/>
              <c:tx>
                <c:strRef>
                  <c:f>Reasons!$A$31</c:f>
                  <c:strCache>
                    <c:ptCount val="1"/>
                    <c:pt idx="0">
                      <c:v>Leicester</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0"/>
              <c:delete val="1"/>
            </c:dLbl>
            <c:dLbl>
              <c:idx val="31"/>
              <c:delete val="1"/>
            </c:dLbl>
            <c:dLbl>
              <c:idx val="32"/>
              <c:layout/>
              <c:tx>
                <c:strRef>
                  <c:f>Reasons!$A$34</c:f>
                  <c:strCache>
                    <c:ptCount val="1"/>
                    <c:pt idx="0">
                      <c:v>Luton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3"/>
              <c:delete val="1"/>
            </c:dLbl>
            <c:dLbl>
              <c:idx val="34"/>
              <c:tx>
                <c:strRef>
                  <c:f>Reasons!$A$36</c:f>
                  <c:strCache>
                    <c:ptCount val="1"/>
                    <c:pt idx="0">
                      <c:v>Mansfield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5"/>
              <c:delete val="1"/>
            </c:dLbl>
            <c:dLbl>
              <c:idx val="36"/>
              <c:delete val="1"/>
            </c:dLbl>
            <c:dLbl>
              <c:idx val="37"/>
              <c:delete val="1"/>
            </c:dLbl>
            <c:dLbl>
              <c:idx val="38"/>
              <c:delete val="1"/>
            </c:dLbl>
            <c:dLbl>
              <c:idx val="39"/>
              <c:delete val="1"/>
            </c:dLbl>
            <c:dLbl>
              <c:idx val="40"/>
              <c:delete val="1"/>
            </c:dLbl>
            <c:dLbl>
              <c:idx val="41"/>
              <c:delete val="1"/>
            </c:dLbl>
            <c:dLbl>
              <c:idx val="42"/>
              <c:delete val="1"/>
            </c:dLbl>
            <c:dLbl>
              <c:idx val="43"/>
              <c:delete val="1"/>
            </c:dLbl>
            <c:dLbl>
              <c:idx val="44"/>
              <c:delete val="1"/>
            </c:dLbl>
            <c:dLbl>
              <c:idx val="45"/>
              <c:delete val="1"/>
            </c:dLbl>
            <c:dLbl>
              <c:idx val="46"/>
              <c:delete val="1"/>
            </c:dLbl>
            <c:dLbl>
              <c:idx val="47"/>
              <c:delete val="1"/>
            </c:dLbl>
            <c:dLbl>
              <c:idx val="48"/>
              <c:delete val="1"/>
            </c:dLbl>
            <c:dLbl>
              <c:idx val="49"/>
              <c:layout/>
              <c:tx>
                <c:strRef>
                  <c:f>Reasons!$A$51</c:f>
                  <c:strCache>
                    <c:ptCount val="1"/>
                    <c:pt idx="0">
                      <c:v>Slough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0"/>
              <c:delete val="1"/>
            </c:dLbl>
            <c:dLbl>
              <c:idx val="51"/>
              <c:delete val="1"/>
            </c:dLbl>
            <c:dLbl>
              <c:idx val="52"/>
              <c:delete val="1"/>
            </c:dLbl>
            <c:dLbl>
              <c:idx val="53"/>
              <c:delete val="1"/>
            </c:dLbl>
            <c:dLbl>
              <c:idx val="54"/>
              <c:delete val="1"/>
            </c:dLbl>
            <c:dLbl>
              <c:idx val="55"/>
              <c:delete val="1"/>
            </c:dLbl>
            <c:dLbl>
              <c:idx val="56"/>
              <c:delete val="1"/>
            </c:dLbl>
            <c:dLbl>
              <c:idx val="57"/>
              <c:delete val="1"/>
            </c:dLbl>
            <c:dLbl>
              <c:idx val="58"/>
              <c:delete val="1"/>
            </c:dLbl>
            <c:dLbl>
              <c:idx val="59"/>
              <c:delete val="1"/>
            </c:dLbl>
            <c:dLbl>
              <c:idx val="60"/>
              <c:tx>
                <c:strRef>
                  <c:f>Reasons!$A$62</c:f>
                  <c:strCache>
                    <c:ptCount val="1"/>
                    <c:pt idx="0">
                      <c:v>Worthing</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61"/>
              <c:layout/>
              <c:tx>
                <c:strRef>
                  <c:f>Reasons!$A$63</c:f>
                  <c:strCache>
                    <c:ptCount val="1"/>
                    <c:pt idx="0">
                      <c:v>York</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showLegendKey val="0"/>
            <c:showVal val="1"/>
            <c:showCatName val="0"/>
            <c:showSerName val="0"/>
            <c:showPercent val="0"/>
            <c:showBubbleSize val="0"/>
            <c:showLeaderLines val="0"/>
          </c:dLbls>
          <c:xVal>
            <c:numRef>
              <c:f>Reasons!$K$2:$K$63</c:f>
              <c:numCache>
                <c:formatCode>0.00</c:formatCode>
                <c:ptCount val="62"/>
                <c:pt idx="0">
                  <c:v>14.623655913978496</c:v>
                </c:pt>
                <c:pt idx="1">
                  <c:v>17.425968109339408</c:v>
                </c:pt>
                <c:pt idx="2">
                  <c:v>1.5463917525773196</c:v>
                </c:pt>
                <c:pt idx="3">
                  <c:v>15.285880980163361</c:v>
                </c:pt>
                <c:pt idx="4">
                  <c:v>4.0302267002518892</c:v>
                </c:pt>
                <c:pt idx="5">
                  <c:v>41.476661951909477</c:v>
                </c:pt>
                <c:pt idx="6">
                  <c:v>45.654082528533799</c:v>
                </c:pt>
                <c:pt idx="7">
                  <c:v>2.5134649910233393</c:v>
                </c:pt>
                <c:pt idx="8">
                  <c:v>6.6774585188182929</c:v>
                </c:pt>
                <c:pt idx="9">
                  <c:v>40.209597352454495</c:v>
                </c:pt>
                <c:pt idx="10">
                  <c:v>16.093117408906881</c:v>
                </c:pt>
                <c:pt idx="11">
                  <c:v>17.111237230419977</c:v>
                </c:pt>
                <c:pt idx="12">
                  <c:v>35.613207547169814</c:v>
                </c:pt>
                <c:pt idx="13">
                  <c:v>20.622986036519872</c:v>
                </c:pt>
                <c:pt idx="14">
                  <c:v>26.957890594254231</c:v>
                </c:pt>
                <c:pt idx="15">
                  <c:v>10.28169014084507</c:v>
                </c:pt>
                <c:pt idx="16">
                  <c:v>40.16393442622951</c:v>
                </c:pt>
                <c:pt idx="18">
                  <c:v>29.087452471482887</c:v>
                </c:pt>
                <c:pt idx="19">
                  <c:v>6.2761506276150625</c:v>
                </c:pt>
                <c:pt idx="20">
                  <c:v>5.4530874097834801</c:v>
                </c:pt>
                <c:pt idx="21">
                  <c:v>16.770768269831354</c:v>
                </c:pt>
                <c:pt idx="22">
                  <c:v>16.828087167070219</c:v>
                </c:pt>
                <c:pt idx="23">
                  <c:v>18.752719361856418</c:v>
                </c:pt>
                <c:pt idx="24">
                  <c:v>8.0882352941176467</c:v>
                </c:pt>
                <c:pt idx="25">
                  <c:v>33.16510454217736</c:v>
                </c:pt>
                <c:pt idx="26">
                  <c:v>9.2808850645359549</c:v>
                </c:pt>
                <c:pt idx="27">
                  <c:v>26.25</c:v>
                </c:pt>
                <c:pt idx="28">
                  <c:v>22.779567418315693</c:v>
                </c:pt>
                <c:pt idx="29">
                  <c:v>56.017441860465112</c:v>
                </c:pt>
                <c:pt idx="30">
                  <c:v>14.172901080631753</c:v>
                </c:pt>
                <c:pt idx="31">
                  <c:v>47.724532331966792</c:v>
                </c:pt>
                <c:pt idx="32">
                  <c:v>60.124826629680996</c:v>
                </c:pt>
                <c:pt idx="33">
                  <c:v>28.728394268457237</c:v>
                </c:pt>
                <c:pt idx="35">
                  <c:v>9.1928251121076237</c:v>
                </c:pt>
                <c:pt idx="36">
                  <c:v>30.492285084496697</c:v>
                </c:pt>
                <c:pt idx="37">
                  <c:v>12.095875139353399</c:v>
                </c:pt>
                <c:pt idx="38">
                  <c:v>6.3253012048192767</c:v>
                </c:pt>
                <c:pt idx="39">
                  <c:v>36.065573770491802</c:v>
                </c:pt>
                <c:pt idx="40">
                  <c:v>17.336485421591803</c:v>
                </c:pt>
                <c:pt idx="41">
                  <c:v>24.69479545941315</c:v>
                </c:pt>
                <c:pt idx="42">
                  <c:v>39.491298527443107</c:v>
                </c:pt>
                <c:pt idx="43">
                  <c:v>24.38563327032136</c:v>
                </c:pt>
                <c:pt idx="44">
                  <c:v>9.1814946619217093</c:v>
                </c:pt>
                <c:pt idx="45">
                  <c:v>8.2369435681738512</c:v>
                </c:pt>
                <c:pt idx="46">
                  <c:v>18.531267928858291</c:v>
                </c:pt>
                <c:pt idx="47">
                  <c:v>18.696186961869618</c:v>
                </c:pt>
                <c:pt idx="48">
                  <c:v>21.985157699443413</c:v>
                </c:pt>
                <c:pt idx="49">
                  <c:v>67.671893848009645</c:v>
                </c:pt>
                <c:pt idx="50">
                  <c:v>22.760646108663728</c:v>
                </c:pt>
                <c:pt idx="51">
                  <c:v>4.8424737456242708</c:v>
                </c:pt>
                <c:pt idx="52">
                  <c:v>14.851024208566107</c:v>
                </c:pt>
                <c:pt idx="53">
                  <c:v>6.3929618768328451</c:v>
                </c:pt>
                <c:pt idx="54">
                  <c:v>15.552216378662658</c:v>
                </c:pt>
                <c:pt idx="55">
                  <c:v>20.998864926220204</c:v>
                </c:pt>
                <c:pt idx="56">
                  <c:v>8.615384615384615</c:v>
                </c:pt>
                <c:pt idx="57">
                  <c:v>6.7155756207674946</c:v>
                </c:pt>
                <c:pt idx="58">
                  <c:v>7.1765816808309717</c:v>
                </c:pt>
                <c:pt idx="59">
                  <c:v>2.0114942528735633</c:v>
                </c:pt>
                <c:pt idx="61">
                  <c:v>8.8184931506849313</c:v>
                </c:pt>
              </c:numCache>
            </c:numRef>
          </c:xVal>
          <c:yVal>
            <c:numRef>
              <c:f>Reasons!$L$2:$L$63</c:f>
              <c:numCache>
                <c:formatCode>0.00</c:formatCode>
                <c:ptCount val="62"/>
                <c:pt idx="0">
                  <c:v>14.982078853046596</c:v>
                </c:pt>
                <c:pt idx="1">
                  <c:v>16.400911161731209</c:v>
                </c:pt>
                <c:pt idx="2">
                  <c:v>23.883495145631066</c:v>
                </c:pt>
                <c:pt idx="3">
                  <c:v>23.971377459749551</c:v>
                </c:pt>
                <c:pt idx="4">
                  <c:v>20.110887096774192</c:v>
                </c:pt>
                <c:pt idx="5">
                  <c:v>29.504682387453457</c:v>
                </c:pt>
                <c:pt idx="6">
                  <c:v>28.910369068541304</c:v>
                </c:pt>
                <c:pt idx="7">
                  <c:v>25.541516245487365</c:v>
                </c:pt>
                <c:pt idx="8">
                  <c:v>18.899231080534197</c:v>
                </c:pt>
                <c:pt idx="9">
                  <c:v>33.783783783783782</c:v>
                </c:pt>
                <c:pt idx="10">
                  <c:v>17.367088607594937</c:v>
                </c:pt>
                <c:pt idx="11">
                  <c:v>20.976440533636108</c:v>
                </c:pt>
                <c:pt idx="12">
                  <c:v>29.681978798586574</c:v>
                </c:pt>
                <c:pt idx="13">
                  <c:v>18.34763948497854</c:v>
                </c:pt>
                <c:pt idx="14">
                  <c:v>16.122689736531655</c:v>
                </c:pt>
                <c:pt idx="15">
                  <c:v>30.79633544749824</c:v>
                </c:pt>
                <c:pt idx="16">
                  <c:v>21.973094170403588</c:v>
                </c:pt>
                <c:pt idx="17">
                  <c:v>56.065573770491802</c:v>
                </c:pt>
                <c:pt idx="18">
                  <c:v>24.428934010152282</c:v>
                </c:pt>
                <c:pt idx="19">
                  <c:v>28.571428571428569</c:v>
                </c:pt>
                <c:pt idx="20">
                  <c:v>22.052927024859663</c:v>
                </c:pt>
                <c:pt idx="21">
                  <c:v>12.897196261682243</c:v>
                </c:pt>
                <c:pt idx="22">
                  <c:v>10.640870616686819</c:v>
                </c:pt>
                <c:pt idx="23">
                  <c:v>18.323925314806775</c:v>
                </c:pt>
                <c:pt idx="24">
                  <c:v>21.256931608133087</c:v>
                </c:pt>
                <c:pt idx="25">
                  <c:v>30.328164442841686</c:v>
                </c:pt>
                <c:pt idx="26">
                  <c:v>30.055316533497233</c:v>
                </c:pt>
                <c:pt idx="27">
                  <c:v>31.388888888888889</c:v>
                </c:pt>
                <c:pt idx="28">
                  <c:v>22.503451449608836</c:v>
                </c:pt>
                <c:pt idx="29">
                  <c:v>29.046118590661703</c:v>
                </c:pt>
                <c:pt idx="30">
                  <c:v>22.720664589823471</c:v>
                </c:pt>
                <c:pt idx="31">
                  <c:v>29.531228504608613</c:v>
                </c:pt>
                <c:pt idx="32">
                  <c:v>36.546463245492369</c:v>
                </c:pt>
                <c:pt idx="33">
                  <c:v>24.701348747591524</c:v>
                </c:pt>
                <c:pt idx="34">
                  <c:v>29.929078014184395</c:v>
                </c:pt>
                <c:pt idx="35">
                  <c:v>26.568501920614594</c:v>
                </c:pt>
                <c:pt idx="36">
                  <c:v>27.941176470588236</c:v>
                </c:pt>
                <c:pt idx="37">
                  <c:v>21.348940914158305</c:v>
                </c:pt>
                <c:pt idx="38">
                  <c:v>21.127819548872182</c:v>
                </c:pt>
                <c:pt idx="39">
                  <c:v>26.411657559198542</c:v>
                </c:pt>
                <c:pt idx="40">
                  <c:v>19.936958234830577</c:v>
                </c:pt>
                <c:pt idx="41">
                  <c:v>21.535500427715998</c:v>
                </c:pt>
                <c:pt idx="42">
                  <c:v>30.563002680965145</c:v>
                </c:pt>
                <c:pt idx="43">
                  <c:v>31.444759206798867</c:v>
                </c:pt>
                <c:pt idx="44">
                  <c:v>24.287749287749289</c:v>
                </c:pt>
                <c:pt idx="45">
                  <c:v>19.782532444756225</c:v>
                </c:pt>
                <c:pt idx="46">
                  <c:v>26.276534710269651</c:v>
                </c:pt>
                <c:pt idx="47">
                  <c:v>28.246153846153849</c:v>
                </c:pt>
                <c:pt idx="48">
                  <c:v>25.889073152754744</c:v>
                </c:pt>
                <c:pt idx="49">
                  <c:v>38.802395209580837</c:v>
                </c:pt>
                <c:pt idx="50">
                  <c:v>24.35334309419229</c:v>
                </c:pt>
                <c:pt idx="51">
                  <c:v>28.629737609329446</c:v>
                </c:pt>
                <c:pt idx="52">
                  <c:v>24.581005586592177</c:v>
                </c:pt>
                <c:pt idx="53">
                  <c:v>25.219941348973606</c:v>
                </c:pt>
                <c:pt idx="54">
                  <c:v>16.159338594513343</c:v>
                </c:pt>
                <c:pt idx="55">
                  <c:v>27.828054298642535</c:v>
                </c:pt>
                <c:pt idx="56">
                  <c:v>22.33606557377049</c:v>
                </c:pt>
                <c:pt idx="57">
                  <c:v>22.69904009034444</c:v>
                </c:pt>
                <c:pt idx="58">
                  <c:v>20.982986767485823</c:v>
                </c:pt>
                <c:pt idx="59">
                  <c:v>23.46880366342301</c:v>
                </c:pt>
                <c:pt idx="60">
                  <c:v>13.367609254498714</c:v>
                </c:pt>
                <c:pt idx="61">
                  <c:v>13.784246575342465</c:v>
                </c:pt>
              </c:numCache>
            </c:numRef>
          </c:yVal>
          <c:smooth val="0"/>
        </c:ser>
        <c:dLbls>
          <c:showLegendKey val="0"/>
          <c:showVal val="0"/>
          <c:showCatName val="0"/>
          <c:showSerName val="0"/>
          <c:showPercent val="0"/>
          <c:showBubbleSize val="0"/>
        </c:dLbls>
        <c:axId val="137078464"/>
        <c:axId val="137079040"/>
      </c:scatterChart>
      <c:valAx>
        <c:axId val="137078464"/>
        <c:scaling>
          <c:orientation val="minMax"/>
        </c:scaling>
        <c:delete val="0"/>
        <c:axPos val="b"/>
        <c:title>
          <c:tx>
            <c:rich>
              <a:bodyPr/>
              <a:lstStyle/>
              <a:p>
                <a:pPr>
                  <a:defRPr/>
                </a:pPr>
                <a:r>
                  <a:rPr lang="en-GB"/>
                  <a:t>Economic</a:t>
                </a:r>
                <a:r>
                  <a:rPr lang="en-GB" baseline="0"/>
                  <a:t> inactive that are of ethnic minority, 2017 (%)</a:t>
                </a:r>
                <a:endParaRPr lang="en-GB"/>
              </a:p>
            </c:rich>
          </c:tx>
          <c:layout/>
          <c:overlay val="0"/>
        </c:title>
        <c:numFmt formatCode="0" sourceLinked="0"/>
        <c:majorTickMark val="out"/>
        <c:minorTickMark val="none"/>
        <c:tickLblPos val="nextTo"/>
        <c:crossAx val="137079040"/>
        <c:crosses val="autoZero"/>
        <c:crossBetween val="midCat"/>
      </c:valAx>
      <c:valAx>
        <c:axId val="137079040"/>
        <c:scaling>
          <c:orientation val="minMax"/>
          <c:min val="0"/>
        </c:scaling>
        <c:delete val="0"/>
        <c:axPos val="l"/>
        <c:title>
          <c:tx>
            <c:rich>
              <a:bodyPr rot="-5400000" vert="horz"/>
              <a:lstStyle/>
              <a:p>
                <a:pPr>
                  <a:defRPr/>
                </a:pPr>
                <a:r>
                  <a:rPr lang="en-GB"/>
                  <a:t>Share of economically inactive looking after faimily/home,</a:t>
                </a:r>
                <a:r>
                  <a:rPr lang="en-GB" baseline="0"/>
                  <a:t> 2017 (%)</a:t>
                </a:r>
              </a:p>
            </c:rich>
          </c:tx>
          <c:layout/>
          <c:overlay val="0"/>
        </c:title>
        <c:numFmt formatCode="0" sourceLinked="0"/>
        <c:majorTickMark val="out"/>
        <c:minorTickMark val="none"/>
        <c:tickLblPos val="nextTo"/>
        <c:crossAx val="137078464"/>
        <c:crosses val="autoZero"/>
        <c:crossBetween val="midCat"/>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scatterChart>
        <c:scatterStyle val="lineMarker"/>
        <c:varyColors val="0"/>
        <c:ser>
          <c:idx val="0"/>
          <c:order val="0"/>
          <c:spPr>
            <a:ln w="28575">
              <a:noFill/>
            </a:ln>
          </c:spPr>
          <c:marker>
            <c:symbol val="circle"/>
            <c:size val="7"/>
            <c:spPr>
              <a:ln>
                <a:solidFill>
                  <a:schemeClr val="bg1"/>
                </a:solidFill>
              </a:ln>
            </c:spPr>
          </c:marker>
          <c:dLbls>
            <c:dLbl>
              <c:idx val="0"/>
              <c:delete val="1"/>
            </c:dLbl>
            <c:dLbl>
              <c:idx val="1"/>
              <c:layout/>
              <c:tx>
                <c:strRef>
                  <c:f>Reasons!$A$3</c:f>
                  <c:strCache>
                    <c:ptCount val="1"/>
                    <c:pt idx="0">
                      <c:v>Aldershot</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2"/>
              <c:layout/>
              <c:tx>
                <c:strRef>
                  <c:f>Reasons!$A$4</c:f>
                  <c:strCache>
                    <c:ptCount val="1"/>
                    <c:pt idx="0">
                      <c:v>Barnsley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
              <c:delete val="1"/>
            </c:dLbl>
            <c:dLbl>
              <c:idx val="4"/>
              <c:delete val="1"/>
            </c:dLbl>
            <c:dLbl>
              <c:idx val="5"/>
              <c:delete val="1"/>
            </c:dLbl>
            <c:dLbl>
              <c:idx val="6"/>
              <c:layout/>
              <c:tx>
                <c:strRef>
                  <c:f>Reasons!$A$8</c:f>
                  <c:strCache>
                    <c:ptCount val="1"/>
                    <c:pt idx="0">
                      <c:v>Blackburn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7"/>
              <c:delete val="1"/>
            </c:dLbl>
            <c:dLbl>
              <c:idx val="8"/>
              <c:delete val="1"/>
            </c:dLbl>
            <c:dLbl>
              <c:idx val="9"/>
              <c:delete val="1"/>
            </c:dLbl>
            <c:dLbl>
              <c:idx val="10"/>
              <c:delete val="1"/>
            </c:dLbl>
            <c:dLbl>
              <c:idx val="11"/>
              <c:delete val="1"/>
            </c:dLbl>
            <c:dLbl>
              <c:idx val="12"/>
              <c:delete val="1"/>
            </c:dLbl>
            <c:dLbl>
              <c:idx val="13"/>
              <c:delete val="1"/>
            </c:dLbl>
            <c:dLbl>
              <c:idx val="14"/>
              <c:delete val="1"/>
            </c:dLbl>
            <c:dLbl>
              <c:idx val="15"/>
              <c:delete val="1"/>
            </c:dLbl>
            <c:dLbl>
              <c:idx val="16"/>
              <c:delete val="1"/>
            </c:dLbl>
            <c:dLbl>
              <c:idx val="17"/>
              <c:tx>
                <c:strRef>
                  <c:f>Reasons!$A$19</c:f>
                  <c:strCache>
                    <c:ptCount val="1"/>
                    <c:pt idx="0">
                      <c:v>Crawley</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18"/>
              <c:delete val="1"/>
            </c:dLbl>
            <c:dLbl>
              <c:idx val="19"/>
              <c:delete val="1"/>
            </c:dLbl>
            <c:dLbl>
              <c:idx val="20"/>
              <c:delete val="1"/>
            </c:dLbl>
            <c:dLbl>
              <c:idx val="21"/>
              <c:delete val="1"/>
            </c:dLbl>
            <c:dLbl>
              <c:idx val="22"/>
              <c:delete val="1"/>
            </c:dLbl>
            <c:dLbl>
              <c:idx val="23"/>
              <c:delete val="1"/>
            </c:dLbl>
            <c:dLbl>
              <c:idx val="24"/>
              <c:delete val="1"/>
            </c:dLbl>
            <c:dLbl>
              <c:idx val="25"/>
              <c:delete val="1"/>
            </c:dLbl>
            <c:dLbl>
              <c:idx val="26"/>
              <c:delete val="1"/>
            </c:dLbl>
            <c:dLbl>
              <c:idx val="27"/>
              <c:delete val="1"/>
            </c:dLbl>
            <c:dLbl>
              <c:idx val="28"/>
              <c:delete val="1"/>
            </c:dLbl>
            <c:dLbl>
              <c:idx val="29"/>
              <c:delete val="1"/>
            </c:dLbl>
            <c:dLbl>
              <c:idx val="30"/>
              <c:delete val="1"/>
            </c:dLbl>
            <c:dLbl>
              <c:idx val="31"/>
              <c:layout/>
              <c:tx>
                <c:strRef>
                  <c:f>Reasons!$A$33</c:f>
                  <c:strCache>
                    <c:ptCount val="1"/>
                    <c:pt idx="0">
                      <c:v>London</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2"/>
              <c:delete val="1"/>
            </c:dLbl>
            <c:dLbl>
              <c:idx val="33"/>
              <c:delete val="1"/>
            </c:dLbl>
            <c:dLbl>
              <c:idx val="34"/>
              <c:layout/>
              <c:tx>
                <c:strRef>
                  <c:f>Reasons!$A$36</c:f>
                  <c:strCache>
                    <c:ptCount val="1"/>
                    <c:pt idx="0">
                      <c:v>Mansfield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35"/>
              <c:delete val="1"/>
            </c:dLbl>
            <c:dLbl>
              <c:idx val="36"/>
              <c:delete val="1"/>
            </c:dLbl>
            <c:dLbl>
              <c:idx val="37"/>
              <c:delete val="1"/>
            </c:dLbl>
            <c:dLbl>
              <c:idx val="38"/>
              <c:delete val="1"/>
            </c:dLbl>
            <c:dLbl>
              <c:idx val="39"/>
              <c:delete val="1"/>
            </c:dLbl>
            <c:dLbl>
              <c:idx val="40"/>
              <c:delete val="1"/>
            </c:dLbl>
            <c:dLbl>
              <c:idx val="41"/>
              <c:delete val="1"/>
            </c:dLbl>
            <c:dLbl>
              <c:idx val="42"/>
              <c:layout/>
              <c:tx>
                <c:strRef>
                  <c:f>Reasons!$A$44</c:f>
                  <c:strCache>
                    <c:ptCount val="1"/>
                    <c:pt idx="0">
                      <c:v>Oxford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43"/>
              <c:delete val="1"/>
            </c:dLbl>
            <c:dLbl>
              <c:idx val="44"/>
              <c:delete val="1"/>
            </c:dLbl>
            <c:dLbl>
              <c:idx val="45"/>
              <c:delete val="1"/>
            </c:dLbl>
            <c:dLbl>
              <c:idx val="46"/>
              <c:delete val="1"/>
            </c:dLbl>
            <c:dLbl>
              <c:idx val="47"/>
              <c:delete val="1"/>
            </c:dLbl>
            <c:dLbl>
              <c:idx val="48"/>
              <c:delete val="1"/>
            </c:dLbl>
            <c:dLbl>
              <c:idx val="49"/>
              <c:layout/>
              <c:tx>
                <c:strRef>
                  <c:f>Reasons!$A$51</c:f>
                  <c:strCache>
                    <c:ptCount val="1"/>
                    <c:pt idx="0">
                      <c:v>Slough</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0"/>
              <c:delete val="1"/>
            </c:dLbl>
            <c:dLbl>
              <c:idx val="51"/>
              <c:delete val="1"/>
            </c:dLbl>
            <c:dLbl>
              <c:idx val="52"/>
              <c:delete val="1"/>
            </c:dLbl>
            <c:dLbl>
              <c:idx val="53"/>
              <c:layout/>
              <c:tx>
                <c:strRef>
                  <c:f>Reasons!$A$55</c:f>
                  <c:strCache>
                    <c:ptCount val="1"/>
                    <c:pt idx="0">
                      <c:v>Sunderland</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dLbl>
              <c:idx val="54"/>
              <c:delete val="1"/>
            </c:dLbl>
            <c:dLbl>
              <c:idx val="55"/>
              <c:delete val="1"/>
            </c:dLbl>
            <c:dLbl>
              <c:idx val="56"/>
              <c:delete val="1"/>
            </c:dLbl>
            <c:dLbl>
              <c:idx val="57"/>
              <c:delete val="1"/>
            </c:dLbl>
            <c:dLbl>
              <c:idx val="58"/>
              <c:delete val="1"/>
            </c:dLbl>
            <c:dLbl>
              <c:idx val="59"/>
              <c:delete val="1"/>
            </c:dLbl>
            <c:dLbl>
              <c:idx val="60"/>
              <c:delete val="1"/>
            </c:dLbl>
            <c:dLbl>
              <c:idx val="61"/>
              <c:layout/>
              <c:tx>
                <c:strRef>
                  <c:f>Reasons!$A$63</c:f>
                  <c:strCache>
                    <c:ptCount val="1"/>
                    <c:pt idx="0">
                      <c:v>York</c:v>
                    </c:pt>
                  </c:strCache>
                </c:strRef>
              </c:tx>
              <c:spPr/>
              <c:txPr>
                <a:bodyPr/>
                <a:lstStyle/>
                <a:p>
                  <a:pPr>
                    <a:defRPr sz="1000" b="0" i="0" u="none" strike="noStrike">
                      <a:latin typeface="Calibri"/>
                    </a:defRPr>
                  </a:pPr>
                  <a:endParaRPr lang="en-US"/>
                </a:p>
              </c:txPr>
              <c:dLblPos val="t"/>
              <c:showLegendKey val="0"/>
              <c:showVal val="1"/>
              <c:showCatName val="0"/>
              <c:showSerName val="0"/>
              <c:showPercent val="0"/>
              <c:showBubbleSize val="0"/>
            </c:dLbl>
            <c:showLegendKey val="0"/>
            <c:showVal val="1"/>
            <c:showCatName val="0"/>
            <c:showSerName val="0"/>
            <c:showPercent val="0"/>
            <c:showBubbleSize val="0"/>
            <c:showLeaderLines val="0"/>
          </c:dLbls>
          <c:xVal>
            <c:numRef>
              <c:f>Reasons!$N$2:$N$63</c:f>
              <c:numCache>
                <c:formatCode>0</c:formatCode>
                <c:ptCount val="62"/>
                <c:pt idx="0">
                  <c:v>62211.43</c:v>
                </c:pt>
                <c:pt idx="1">
                  <c:v>61273.58</c:v>
                </c:pt>
                <c:pt idx="2">
                  <c:v>45610.06</c:v>
                </c:pt>
                <c:pt idx="3">
                  <c:v>57565.71</c:v>
                </c:pt>
                <c:pt idx="4">
                  <c:v>47481.13</c:v>
                </c:pt>
                <c:pt idx="5">
                  <c:v>51532.83</c:v>
                </c:pt>
                <c:pt idx="6">
                  <c:v>44911.76</c:v>
                </c:pt>
                <c:pt idx="7">
                  <c:v>49076.92</c:v>
                </c:pt>
                <c:pt idx="8">
                  <c:v>51535.71</c:v>
                </c:pt>
                <c:pt idx="9">
                  <c:v>48694.17</c:v>
                </c:pt>
                <c:pt idx="10">
                  <c:v>57944.27</c:v>
                </c:pt>
                <c:pt idx="11">
                  <c:v>59755.29</c:v>
                </c:pt>
                <c:pt idx="12">
                  <c:v>48707.48</c:v>
                </c:pt>
                <c:pt idx="13">
                  <c:v>55876.78</c:v>
                </c:pt>
                <c:pt idx="14">
                  <c:v>51085.06</c:v>
                </c:pt>
                <c:pt idx="15">
                  <c:v>57333.33</c:v>
                </c:pt>
                <c:pt idx="16">
                  <c:v>55504.639999999999</c:v>
                </c:pt>
                <c:pt idx="17">
                  <c:v>63979.06</c:v>
                </c:pt>
                <c:pt idx="18">
                  <c:v>52219.7</c:v>
                </c:pt>
                <c:pt idx="19">
                  <c:v>43650.79</c:v>
                </c:pt>
                <c:pt idx="20">
                  <c:v>53519.48</c:v>
                </c:pt>
                <c:pt idx="21">
                  <c:v>68162.16</c:v>
                </c:pt>
                <c:pt idx="22">
                  <c:v>54288.77</c:v>
                </c:pt>
                <c:pt idx="23">
                  <c:v>47247.519999999997</c:v>
                </c:pt>
                <c:pt idx="24">
                  <c:v>56356.59</c:v>
                </c:pt>
                <c:pt idx="25">
                  <c:v>47663.55</c:v>
                </c:pt>
                <c:pt idx="26">
                  <c:v>41419.61</c:v>
                </c:pt>
                <c:pt idx="27">
                  <c:v>56301.37</c:v>
                </c:pt>
                <c:pt idx="28">
                  <c:v>51272.33</c:v>
                </c:pt>
                <c:pt idx="29">
                  <c:v>50052.21</c:v>
                </c:pt>
                <c:pt idx="30">
                  <c:v>50025.64</c:v>
                </c:pt>
                <c:pt idx="31">
                  <c:v>80537.850000000006</c:v>
                </c:pt>
                <c:pt idx="32">
                  <c:v>57875.65</c:v>
                </c:pt>
                <c:pt idx="33">
                  <c:v>50436.99</c:v>
                </c:pt>
                <c:pt idx="34">
                  <c:v>45269.84</c:v>
                </c:pt>
                <c:pt idx="35">
                  <c:v>48005.31</c:v>
                </c:pt>
                <c:pt idx="36">
                  <c:v>72980.72</c:v>
                </c:pt>
                <c:pt idx="37">
                  <c:v>47922.14</c:v>
                </c:pt>
                <c:pt idx="38">
                  <c:v>45912.28</c:v>
                </c:pt>
                <c:pt idx="39">
                  <c:v>52794.22</c:v>
                </c:pt>
                <c:pt idx="40">
                  <c:v>46696.55</c:v>
                </c:pt>
                <c:pt idx="41">
                  <c:v>43932.55</c:v>
                </c:pt>
                <c:pt idx="42">
                  <c:v>56448.13</c:v>
                </c:pt>
                <c:pt idx="43">
                  <c:v>47129.71</c:v>
                </c:pt>
                <c:pt idx="44">
                  <c:v>47121.08</c:v>
                </c:pt>
                <c:pt idx="45">
                  <c:v>55558.559999999998</c:v>
                </c:pt>
                <c:pt idx="46">
                  <c:v>52423.91</c:v>
                </c:pt>
                <c:pt idx="47">
                  <c:v>64152.23</c:v>
                </c:pt>
                <c:pt idx="48">
                  <c:v>45888.44</c:v>
                </c:pt>
                <c:pt idx="49">
                  <c:v>82036.14</c:v>
                </c:pt>
                <c:pt idx="50">
                  <c:v>61718.23</c:v>
                </c:pt>
                <c:pt idx="51">
                  <c:v>46801.8</c:v>
                </c:pt>
                <c:pt idx="52">
                  <c:v>43485.03</c:v>
                </c:pt>
                <c:pt idx="53">
                  <c:v>53114.75</c:v>
                </c:pt>
                <c:pt idx="54">
                  <c:v>44327.040000000001</c:v>
                </c:pt>
                <c:pt idx="55">
                  <c:v>62677.97</c:v>
                </c:pt>
                <c:pt idx="56">
                  <c:v>47080.46</c:v>
                </c:pt>
                <c:pt idx="57">
                  <c:v>47571.43</c:v>
                </c:pt>
                <c:pt idx="58">
                  <c:v>49985.4</c:v>
                </c:pt>
                <c:pt idx="59">
                  <c:v>43853.21</c:v>
                </c:pt>
                <c:pt idx="60">
                  <c:v>66183.67</c:v>
                </c:pt>
                <c:pt idx="61">
                  <c:v>48036.53</c:v>
                </c:pt>
              </c:numCache>
            </c:numRef>
          </c:xVal>
          <c:yVal>
            <c:numRef>
              <c:f>Reasons!$O$2:$O$63</c:f>
              <c:numCache>
                <c:formatCode>0.00</c:formatCode>
                <c:ptCount val="62"/>
                <c:pt idx="0">
                  <c:v>19.641577060931901</c:v>
                </c:pt>
                <c:pt idx="1">
                  <c:v>17.425968109339408</c:v>
                </c:pt>
                <c:pt idx="2">
                  <c:v>31.391585760517799</c:v>
                </c:pt>
                <c:pt idx="3">
                  <c:v>24.686940966010734</c:v>
                </c:pt>
                <c:pt idx="4">
                  <c:v>31.653225806451612</c:v>
                </c:pt>
                <c:pt idx="5">
                  <c:v>20.602504795216067</c:v>
                </c:pt>
                <c:pt idx="6">
                  <c:v>23.81370826010545</c:v>
                </c:pt>
                <c:pt idx="7">
                  <c:v>30.956678700361014</c:v>
                </c:pt>
                <c:pt idx="8">
                  <c:v>18.656414407122625</c:v>
                </c:pt>
                <c:pt idx="9">
                  <c:v>22.476558190843903</c:v>
                </c:pt>
                <c:pt idx="10">
                  <c:v>23.645569620253166</c:v>
                </c:pt>
                <c:pt idx="11">
                  <c:v>19.841044564291796</c:v>
                </c:pt>
                <c:pt idx="12">
                  <c:v>24.970553592461719</c:v>
                </c:pt>
                <c:pt idx="13">
                  <c:v>15.236051502145923</c:v>
                </c:pt>
                <c:pt idx="14">
                  <c:v>21.234762092017302</c:v>
                </c:pt>
                <c:pt idx="15">
                  <c:v>20.859760394644116</c:v>
                </c:pt>
                <c:pt idx="16">
                  <c:v>17.570322054626988</c:v>
                </c:pt>
                <c:pt idx="18">
                  <c:v>25.888324873096447</c:v>
                </c:pt>
                <c:pt idx="19">
                  <c:v>29.049611476389721</c:v>
                </c:pt>
                <c:pt idx="20">
                  <c:v>28.147554129911789</c:v>
                </c:pt>
                <c:pt idx="21">
                  <c:v>17.445482866043612</c:v>
                </c:pt>
                <c:pt idx="22">
                  <c:v>10.157194679564691</c:v>
                </c:pt>
                <c:pt idx="23">
                  <c:v>27.746417716022581</c:v>
                </c:pt>
                <c:pt idx="24">
                  <c:v>30.314232902033272</c:v>
                </c:pt>
                <c:pt idx="25">
                  <c:v>19.004688063469168</c:v>
                </c:pt>
                <c:pt idx="26">
                  <c:v>24.462200368776891</c:v>
                </c:pt>
                <c:pt idx="27">
                  <c:v>21.527777777777779</c:v>
                </c:pt>
                <c:pt idx="28">
                  <c:v>16.65899677864703</c:v>
                </c:pt>
                <c:pt idx="29">
                  <c:v>19.077628186765967</c:v>
                </c:pt>
                <c:pt idx="30">
                  <c:v>31.111111111111111</c:v>
                </c:pt>
                <c:pt idx="31">
                  <c:v>16.28146925299216</c:v>
                </c:pt>
                <c:pt idx="32">
                  <c:v>17.198335644937586</c:v>
                </c:pt>
                <c:pt idx="33">
                  <c:v>25.639049454078354</c:v>
                </c:pt>
                <c:pt idx="34">
                  <c:v>36.312056737588655</c:v>
                </c:pt>
                <c:pt idx="35">
                  <c:v>23.52752880921895</c:v>
                </c:pt>
                <c:pt idx="36">
                  <c:v>15.441176470588236</c:v>
                </c:pt>
                <c:pt idx="37">
                  <c:v>26.477146042363437</c:v>
                </c:pt>
                <c:pt idx="38">
                  <c:v>33.533834586466163</c:v>
                </c:pt>
                <c:pt idx="39">
                  <c:v>18.032786885245901</c:v>
                </c:pt>
                <c:pt idx="40">
                  <c:v>24.271079590228524</c:v>
                </c:pt>
                <c:pt idx="41">
                  <c:v>24.508126603934986</c:v>
                </c:pt>
                <c:pt idx="42">
                  <c:v>10.723860589812332</c:v>
                </c:pt>
                <c:pt idx="43">
                  <c:v>19.830028328611899</c:v>
                </c:pt>
                <c:pt idx="44">
                  <c:v>25.854700854700859</c:v>
                </c:pt>
                <c:pt idx="45">
                  <c:v>19.852683269028411</c:v>
                </c:pt>
                <c:pt idx="46">
                  <c:v>21.227768215720022</c:v>
                </c:pt>
                <c:pt idx="47">
                  <c:v>13.107692307692306</c:v>
                </c:pt>
                <c:pt idx="48">
                  <c:v>25.649530127142068</c:v>
                </c:pt>
                <c:pt idx="49">
                  <c:v>21.077844311377245</c:v>
                </c:pt>
                <c:pt idx="50">
                  <c:v>21.034651049292339</c:v>
                </c:pt>
                <c:pt idx="51">
                  <c:v>16.85131195335277</c:v>
                </c:pt>
                <c:pt idx="52">
                  <c:v>31.564245810055862</c:v>
                </c:pt>
                <c:pt idx="53">
                  <c:v>33.665689149560116</c:v>
                </c:pt>
                <c:pt idx="54">
                  <c:v>23.449830890642616</c:v>
                </c:pt>
                <c:pt idx="55">
                  <c:v>25.452488687782804</c:v>
                </c:pt>
                <c:pt idx="56">
                  <c:v>23.975409836065573</c:v>
                </c:pt>
                <c:pt idx="57">
                  <c:v>30.434782608695656</c:v>
                </c:pt>
                <c:pt idx="58">
                  <c:v>20.132325141776938</c:v>
                </c:pt>
                <c:pt idx="59">
                  <c:v>29.994275901545507</c:v>
                </c:pt>
                <c:pt idx="60">
                  <c:v>23.907455012853472</c:v>
                </c:pt>
                <c:pt idx="61">
                  <c:v>12.756849315068495</c:v>
                </c:pt>
              </c:numCache>
            </c:numRef>
          </c:yVal>
          <c:smooth val="0"/>
        </c:ser>
        <c:dLbls>
          <c:showLegendKey val="0"/>
          <c:showVal val="0"/>
          <c:showCatName val="0"/>
          <c:showSerName val="0"/>
          <c:showPercent val="0"/>
          <c:showBubbleSize val="0"/>
        </c:dLbls>
        <c:axId val="137080768"/>
        <c:axId val="137081344"/>
      </c:scatterChart>
      <c:valAx>
        <c:axId val="137080768"/>
        <c:scaling>
          <c:orientation val="minMax"/>
        </c:scaling>
        <c:delete val="0"/>
        <c:axPos val="b"/>
        <c:title>
          <c:tx>
            <c:rich>
              <a:bodyPr/>
              <a:lstStyle/>
              <a:p>
                <a:pPr>
                  <a:defRPr/>
                </a:pPr>
                <a:r>
                  <a:rPr lang="en-GB"/>
                  <a:t>GVA per worker,</a:t>
                </a:r>
                <a:r>
                  <a:rPr lang="en-GB" baseline="0"/>
                  <a:t> 2017 (£)</a:t>
                </a:r>
                <a:endParaRPr lang="en-GB"/>
              </a:p>
            </c:rich>
          </c:tx>
          <c:layout/>
          <c:overlay val="0"/>
        </c:title>
        <c:numFmt formatCode="#,##0" sourceLinked="0"/>
        <c:majorTickMark val="out"/>
        <c:minorTickMark val="none"/>
        <c:tickLblPos val="nextTo"/>
        <c:crossAx val="137081344"/>
        <c:crosses val="autoZero"/>
        <c:crossBetween val="midCat"/>
      </c:valAx>
      <c:valAx>
        <c:axId val="137081344"/>
        <c:scaling>
          <c:orientation val="minMax"/>
        </c:scaling>
        <c:delete val="0"/>
        <c:axPos val="l"/>
        <c:title>
          <c:tx>
            <c:rich>
              <a:bodyPr rot="-5400000" vert="horz"/>
              <a:lstStyle/>
              <a:p>
                <a:pPr>
                  <a:defRPr/>
                </a:pPr>
                <a:r>
                  <a:rPr lang="en-GB"/>
                  <a:t>Share of economically inactive</a:t>
                </a:r>
                <a:r>
                  <a:rPr lang="en-GB" baseline="0"/>
                  <a:t> who are long term sick, 2017 (%)</a:t>
                </a:r>
                <a:endParaRPr lang="en-GB"/>
              </a:p>
            </c:rich>
          </c:tx>
          <c:layout/>
          <c:overlay val="0"/>
        </c:title>
        <c:numFmt formatCode="0" sourceLinked="0"/>
        <c:majorTickMark val="out"/>
        <c:minorTickMark val="none"/>
        <c:tickLblPos val="nextTo"/>
        <c:crossAx val="137080768"/>
        <c:crosses val="autoZero"/>
        <c:crossBetween val="midCat"/>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barChart>
        <c:barDir val="bar"/>
        <c:grouping val="clustered"/>
        <c:varyColors val="0"/>
        <c:ser>
          <c:idx val="0"/>
          <c:order val="0"/>
          <c:invertIfNegative val="0"/>
          <c:cat>
            <c:strRef>
              <c:f>'Want job'!$O$2:$O$63</c:f>
              <c:strCache>
                <c:ptCount val="62"/>
                <c:pt idx="0">
                  <c:v>Birkenhead</c:v>
                </c:pt>
                <c:pt idx="1">
                  <c:v>Luton</c:v>
                </c:pt>
                <c:pt idx="2">
                  <c:v>Reading</c:v>
                </c:pt>
                <c:pt idx="3">
                  <c:v>Birmingham</c:v>
                </c:pt>
                <c:pt idx="4">
                  <c:v>Aldershot</c:v>
                </c:pt>
                <c:pt idx="5">
                  <c:v>Oxford</c:v>
                </c:pt>
                <c:pt idx="6">
                  <c:v>York</c:v>
                </c:pt>
                <c:pt idx="7">
                  <c:v>Nottingham</c:v>
                </c:pt>
                <c:pt idx="8">
                  <c:v>Huddersfield</c:v>
                </c:pt>
                <c:pt idx="9">
                  <c:v>Norwich</c:v>
                </c:pt>
                <c:pt idx="10">
                  <c:v>Bradford</c:v>
                </c:pt>
                <c:pt idx="11">
                  <c:v>Liverpool</c:v>
                </c:pt>
                <c:pt idx="12">
                  <c:v>Bournemouth</c:v>
                </c:pt>
                <c:pt idx="13">
                  <c:v>Bristol</c:v>
                </c:pt>
                <c:pt idx="14">
                  <c:v>Blackburn</c:v>
                </c:pt>
                <c:pt idx="15">
                  <c:v>Cardiff</c:v>
                </c:pt>
                <c:pt idx="16">
                  <c:v>Warrington</c:v>
                </c:pt>
                <c:pt idx="17">
                  <c:v>Peterborough</c:v>
                </c:pt>
                <c:pt idx="18">
                  <c:v>Milton Keynes</c:v>
                </c:pt>
                <c:pt idx="19">
                  <c:v>Middlesbrough</c:v>
                </c:pt>
                <c:pt idx="20">
                  <c:v>Aberdeen</c:v>
                </c:pt>
                <c:pt idx="21">
                  <c:v>Portsmouth</c:v>
                </c:pt>
                <c:pt idx="22">
                  <c:v>Mansfield</c:v>
                </c:pt>
                <c:pt idx="23">
                  <c:v>Gloucester</c:v>
                </c:pt>
                <c:pt idx="24">
                  <c:v>Newcastle</c:v>
                </c:pt>
                <c:pt idx="25">
                  <c:v>Coventry</c:v>
                </c:pt>
                <c:pt idx="26">
                  <c:v>Southend</c:v>
                </c:pt>
                <c:pt idx="27">
                  <c:v>Slough</c:v>
                </c:pt>
                <c:pt idx="28">
                  <c:v>Worthing</c:v>
                </c:pt>
                <c:pt idx="29">
                  <c:v>Swansea</c:v>
                </c:pt>
                <c:pt idx="30">
                  <c:v>Wigan</c:v>
                </c:pt>
                <c:pt idx="31">
                  <c:v>Leeds</c:v>
                </c:pt>
                <c:pt idx="32">
                  <c:v>Basildon</c:v>
                </c:pt>
                <c:pt idx="33">
                  <c:v>Ipswich</c:v>
                </c:pt>
                <c:pt idx="34">
                  <c:v>London</c:v>
                </c:pt>
                <c:pt idx="35">
                  <c:v>Edinburgh</c:v>
                </c:pt>
                <c:pt idx="36">
                  <c:v>Glasgow</c:v>
                </c:pt>
                <c:pt idx="37">
                  <c:v>Burnley</c:v>
                </c:pt>
                <c:pt idx="38">
                  <c:v>Swindon</c:v>
                </c:pt>
                <c:pt idx="39">
                  <c:v>Preston</c:v>
                </c:pt>
                <c:pt idx="40">
                  <c:v>Manchester</c:v>
                </c:pt>
                <c:pt idx="41">
                  <c:v>Northampton</c:v>
                </c:pt>
                <c:pt idx="42">
                  <c:v>Leicester</c:v>
                </c:pt>
                <c:pt idx="43">
                  <c:v>Stoke</c:v>
                </c:pt>
                <c:pt idx="44">
                  <c:v>Doncaster</c:v>
                </c:pt>
                <c:pt idx="45">
                  <c:v>Southampton</c:v>
                </c:pt>
                <c:pt idx="46">
                  <c:v>Cambridge</c:v>
                </c:pt>
                <c:pt idx="47">
                  <c:v>Derby</c:v>
                </c:pt>
                <c:pt idx="48">
                  <c:v>Sheffield</c:v>
                </c:pt>
                <c:pt idx="49">
                  <c:v>Telford</c:v>
                </c:pt>
                <c:pt idx="50">
                  <c:v>Hull</c:v>
                </c:pt>
                <c:pt idx="51">
                  <c:v>Newport</c:v>
                </c:pt>
                <c:pt idx="52">
                  <c:v>Crawley</c:v>
                </c:pt>
                <c:pt idx="53">
                  <c:v>Blackpool</c:v>
                </c:pt>
                <c:pt idx="54">
                  <c:v>Sunderland</c:v>
                </c:pt>
                <c:pt idx="55">
                  <c:v>Dundee</c:v>
                </c:pt>
                <c:pt idx="56">
                  <c:v>Wakefield</c:v>
                </c:pt>
                <c:pt idx="57">
                  <c:v>Barnsley</c:v>
                </c:pt>
                <c:pt idx="58">
                  <c:v>Plymouth</c:v>
                </c:pt>
                <c:pt idx="59">
                  <c:v>Brighton</c:v>
                </c:pt>
                <c:pt idx="60">
                  <c:v>Exeter</c:v>
                </c:pt>
                <c:pt idx="61">
                  <c:v>Chatham</c:v>
                </c:pt>
              </c:strCache>
            </c:strRef>
          </c:cat>
          <c:val>
            <c:numRef>
              <c:f>'Want job'!$P$2:$P$63</c:f>
              <c:numCache>
                <c:formatCode>0.0</c:formatCode>
                <c:ptCount val="62"/>
                <c:pt idx="0">
                  <c:v>11.100000000000001</c:v>
                </c:pt>
                <c:pt idx="1">
                  <c:v>14.8</c:v>
                </c:pt>
                <c:pt idx="2">
                  <c:v>14.824999999999999</c:v>
                </c:pt>
                <c:pt idx="3">
                  <c:v>15.524999999999999</c:v>
                </c:pt>
                <c:pt idx="4">
                  <c:v>15.525000000000002</c:v>
                </c:pt>
                <c:pt idx="5">
                  <c:v>15.533333333333331</c:v>
                </c:pt>
                <c:pt idx="6">
                  <c:v>15.574999999999999</c:v>
                </c:pt>
                <c:pt idx="7">
                  <c:v>16.074999999999999</c:v>
                </c:pt>
                <c:pt idx="8">
                  <c:v>16.824999999999999</c:v>
                </c:pt>
                <c:pt idx="9">
                  <c:v>17.174999999999997</c:v>
                </c:pt>
                <c:pt idx="10">
                  <c:v>17.3</c:v>
                </c:pt>
                <c:pt idx="11">
                  <c:v>18.100000000000001</c:v>
                </c:pt>
                <c:pt idx="12">
                  <c:v>19.2</c:v>
                </c:pt>
                <c:pt idx="13">
                  <c:v>19.825000000000003</c:v>
                </c:pt>
                <c:pt idx="14">
                  <c:v>20.024999999999999</c:v>
                </c:pt>
                <c:pt idx="15">
                  <c:v>20.099999999999998</c:v>
                </c:pt>
                <c:pt idx="16">
                  <c:v>20.8</c:v>
                </c:pt>
                <c:pt idx="17">
                  <c:v>21.400000000000002</c:v>
                </c:pt>
                <c:pt idx="18">
                  <c:v>21.474999999999998</c:v>
                </c:pt>
                <c:pt idx="19">
                  <c:v>22.125</c:v>
                </c:pt>
                <c:pt idx="20">
                  <c:v>22.25</c:v>
                </c:pt>
                <c:pt idx="21">
                  <c:v>22.4</c:v>
                </c:pt>
                <c:pt idx="22">
                  <c:v>22.4</c:v>
                </c:pt>
                <c:pt idx="23">
                  <c:v>22.474999999999998</c:v>
                </c:pt>
                <c:pt idx="24">
                  <c:v>22.925000000000001</c:v>
                </c:pt>
                <c:pt idx="25">
                  <c:v>23.025000000000002</c:v>
                </c:pt>
                <c:pt idx="26">
                  <c:v>23.1</c:v>
                </c:pt>
                <c:pt idx="27">
                  <c:v>23.15</c:v>
                </c:pt>
                <c:pt idx="28">
                  <c:v>23.2</c:v>
                </c:pt>
                <c:pt idx="29">
                  <c:v>23.3</c:v>
                </c:pt>
                <c:pt idx="30">
                  <c:v>23.324999999999999</c:v>
                </c:pt>
                <c:pt idx="31">
                  <c:v>23.725000000000001</c:v>
                </c:pt>
                <c:pt idx="32">
                  <c:v>24.05</c:v>
                </c:pt>
                <c:pt idx="33">
                  <c:v>24.574999999999999</c:v>
                </c:pt>
                <c:pt idx="34">
                  <c:v>24.575000000000003</c:v>
                </c:pt>
                <c:pt idx="35">
                  <c:v>24.75</c:v>
                </c:pt>
                <c:pt idx="36">
                  <c:v>24.85</c:v>
                </c:pt>
                <c:pt idx="37">
                  <c:v>24.925000000000001</c:v>
                </c:pt>
                <c:pt idx="38">
                  <c:v>25.174999999999997</c:v>
                </c:pt>
                <c:pt idx="39">
                  <c:v>25.425000000000001</c:v>
                </c:pt>
                <c:pt idx="40">
                  <c:v>25.475000000000001</c:v>
                </c:pt>
                <c:pt idx="41">
                  <c:v>26.174999999999997</c:v>
                </c:pt>
                <c:pt idx="42">
                  <c:v>26.299999999999997</c:v>
                </c:pt>
                <c:pt idx="43">
                  <c:v>26.324999999999999</c:v>
                </c:pt>
                <c:pt idx="44">
                  <c:v>26.4</c:v>
                </c:pt>
                <c:pt idx="45">
                  <c:v>26.724999999999998</c:v>
                </c:pt>
                <c:pt idx="46">
                  <c:v>27.700000000000003</c:v>
                </c:pt>
                <c:pt idx="47">
                  <c:v>27.824999999999996</c:v>
                </c:pt>
                <c:pt idx="48">
                  <c:v>28.324999999999999</c:v>
                </c:pt>
                <c:pt idx="49">
                  <c:v>28.700000000000003</c:v>
                </c:pt>
                <c:pt idx="50">
                  <c:v>30.024999999999999</c:v>
                </c:pt>
                <c:pt idx="51">
                  <c:v>30.1</c:v>
                </c:pt>
                <c:pt idx="52">
                  <c:v>30.366666666666664</c:v>
                </c:pt>
                <c:pt idx="53">
                  <c:v>32.65</c:v>
                </c:pt>
                <c:pt idx="54">
                  <c:v>33.75</c:v>
                </c:pt>
                <c:pt idx="55">
                  <c:v>34.299999999999997</c:v>
                </c:pt>
                <c:pt idx="56">
                  <c:v>35.075000000000003</c:v>
                </c:pt>
                <c:pt idx="57">
                  <c:v>35.424999999999997</c:v>
                </c:pt>
                <c:pt idx="58">
                  <c:v>36.35</c:v>
                </c:pt>
                <c:pt idx="59">
                  <c:v>38.125</c:v>
                </c:pt>
                <c:pt idx="60">
                  <c:v>39.425000000000004</c:v>
                </c:pt>
                <c:pt idx="61">
                  <c:v>41.024999999999999</c:v>
                </c:pt>
              </c:numCache>
            </c:numRef>
          </c:val>
        </c:ser>
        <c:dLbls>
          <c:showLegendKey val="0"/>
          <c:showVal val="0"/>
          <c:showCatName val="0"/>
          <c:showSerName val="0"/>
          <c:showPercent val="0"/>
          <c:showBubbleSize val="0"/>
        </c:dLbls>
        <c:gapWidth val="150"/>
        <c:axId val="148843008"/>
        <c:axId val="137083072"/>
      </c:barChart>
      <c:catAx>
        <c:axId val="148843008"/>
        <c:scaling>
          <c:orientation val="minMax"/>
        </c:scaling>
        <c:delete val="0"/>
        <c:axPos val="l"/>
        <c:majorTickMark val="out"/>
        <c:minorTickMark val="none"/>
        <c:tickLblPos val="nextTo"/>
        <c:txPr>
          <a:bodyPr/>
          <a:lstStyle/>
          <a:p>
            <a:pPr>
              <a:defRPr sz="800"/>
            </a:pPr>
            <a:endParaRPr lang="en-US"/>
          </a:p>
        </c:txPr>
        <c:crossAx val="137083072"/>
        <c:crosses val="autoZero"/>
        <c:auto val="1"/>
        <c:lblAlgn val="ctr"/>
        <c:lblOffset val="100"/>
        <c:noMultiLvlLbl val="0"/>
      </c:catAx>
      <c:valAx>
        <c:axId val="137083072"/>
        <c:scaling>
          <c:orientation val="minMax"/>
        </c:scaling>
        <c:delete val="0"/>
        <c:axPos val="b"/>
        <c:title>
          <c:tx>
            <c:rich>
              <a:bodyPr/>
              <a:lstStyle/>
              <a:p>
                <a:pPr>
                  <a:defRPr sz="900"/>
                </a:pPr>
                <a:r>
                  <a:rPr lang="en-GB" sz="900"/>
                  <a:t>Share</a:t>
                </a:r>
                <a:r>
                  <a:rPr lang="en-GB" sz="900" baseline="0"/>
                  <a:t> of economically inactive who want a job, 2017 (%)</a:t>
                </a:r>
                <a:endParaRPr lang="en-GB" sz="900"/>
              </a:p>
            </c:rich>
          </c:tx>
          <c:layout>
            <c:manualLayout>
              <c:xMode val="edge"/>
              <c:yMode val="edge"/>
              <c:x val="0.16296447883773565"/>
              <c:y val="0.9645124076840017"/>
            </c:manualLayout>
          </c:layout>
          <c:overlay val="0"/>
        </c:title>
        <c:numFmt formatCode="0" sourceLinked="0"/>
        <c:majorTickMark val="out"/>
        <c:minorTickMark val="none"/>
        <c:tickLblPos val="nextTo"/>
        <c:crossAx val="14884300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515770-89CC-4AAB-8A23-B7F94BF0E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13</Pages>
  <Words>1490</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Elena Magrini</dc:creator>
  <cp:lastModifiedBy>Elena Magrini</cp:lastModifiedBy>
  <cp:revision>13</cp:revision>
  <dcterms:created xsi:type="dcterms:W3CDTF">2019-02-01T11:32:00Z</dcterms:created>
  <dcterms:modified xsi:type="dcterms:W3CDTF">2019-02-14T13:26:00Z</dcterms:modified>
</cp:coreProperties>
</file>